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CF" w:rsidRDefault="002A75CF">
      <w:pPr>
        <w:pStyle w:val="Header"/>
        <w:tabs>
          <w:tab w:val="clear" w:pos="4320"/>
          <w:tab w:val="clear" w:pos="8640"/>
        </w:tabs>
        <w:sectPr w:rsidR="002A75CF">
          <w:headerReference w:type="default" r:id="rId8"/>
          <w:footerReference w:type="default" r:id="rId9"/>
          <w:pgSz w:w="12240" w:h="15840"/>
          <w:pgMar w:top="2160" w:right="1440" w:bottom="1440" w:left="2880" w:header="360" w:footer="360" w:gutter="0"/>
          <w:cols w:space="720"/>
          <w:noEndnote/>
        </w:sectPr>
      </w:pPr>
      <w:bookmarkStart w:id="0" w:name="_GoBack"/>
      <w:bookmarkEnd w:id="0"/>
    </w:p>
    <w:p w:rsidR="002A75CF" w:rsidRDefault="002A75CF" w:rsidP="008070E4">
      <w:pPr>
        <w:pStyle w:val="Header"/>
        <w:tabs>
          <w:tab w:val="clear" w:pos="4320"/>
          <w:tab w:val="clear" w:pos="8640"/>
        </w:tabs>
      </w:pPr>
    </w:p>
    <w:p w:rsidR="008070E4" w:rsidRDefault="008070E4" w:rsidP="008070E4">
      <w:pPr>
        <w:pStyle w:val="Header"/>
        <w:tabs>
          <w:tab w:val="clear" w:pos="4320"/>
          <w:tab w:val="clear" w:pos="8640"/>
        </w:tabs>
      </w:pPr>
    </w:p>
    <w:p w:rsidR="00CE22C7" w:rsidRDefault="00CE22C7" w:rsidP="008070E4">
      <w:pPr>
        <w:pStyle w:val="Header"/>
        <w:tabs>
          <w:tab w:val="clear" w:pos="4320"/>
          <w:tab w:val="clear" w:pos="8640"/>
        </w:tabs>
      </w:pPr>
    </w:p>
    <w:p w:rsidR="008070E4" w:rsidRDefault="008070E4" w:rsidP="008070E4">
      <w:pPr>
        <w:pStyle w:val="Header"/>
        <w:tabs>
          <w:tab w:val="clear" w:pos="4320"/>
          <w:tab w:val="clear" w:pos="8640"/>
        </w:tabs>
      </w:pPr>
    </w:p>
    <w:p w:rsidR="008070E4" w:rsidRDefault="008070E4" w:rsidP="008070E4">
      <w:pPr>
        <w:pStyle w:val="Header"/>
        <w:tabs>
          <w:tab w:val="clear" w:pos="4320"/>
          <w:tab w:val="clear" w:pos="8640"/>
        </w:tabs>
      </w:pPr>
    </w:p>
    <w:p w:rsidR="005176AE" w:rsidRDefault="005176AE" w:rsidP="005176AE">
      <w:pPr>
        <w:pStyle w:val="Header"/>
        <w:tabs>
          <w:tab w:val="clear" w:pos="4320"/>
          <w:tab w:val="clear" w:pos="8640"/>
        </w:tabs>
        <w:jc w:val="center"/>
        <w:rPr>
          <w:b/>
          <w:bCs/>
          <w:u w:val="single"/>
        </w:rPr>
      </w:pPr>
      <w:r>
        <w:rPr>
          <w:b/>
          <w:bCs/>
          <w:u w:val="single"/>
        </w:rPr>
        <w:t>Memorandum</w:t>
      </w:r>
    </w:p>
    <w:p w:rsidR="005176AE" w:rsidRDefault="005176AE" w:rsidP="005176AE">
      <w:pPr>
        <w:pStyle w:val="Header"/>
        <w:tabs>
          <w:tab w:val="clear" w:pos="4320"/>
          <w:tab w:val="clear" w:pos="8640"/>
        </w:tabs>
      </w:pPr>
    </w:p>
    <w:p w:rsidR="005176AE" w:rsidRDefault="005176AE" w:rsidP="005176AE">
      <w:pPr>
        <w:pStyle w:val="Header"/>
        <w:tabs>
          <w:tab w:val="clear" w:pos="4320"/>
          <w:tab w:val="clear" w:pos="8640"/>
        </w:tabs>
        <w:ind w:left="-1260"/>
      </w:pPr>
    </w:p>
    <w:p w:rsidR="005176AE" w:rsidRDefault="005176AE" w:rsidP="005176AE">
      <w:pPr>
        <w:pStyle w:val="Header"/>
        <w:tabs>
          <w:tab w:val="clear" w:pos="4320"/>
          <w:tab w:val="clear" w:pos="8640"/>
        </w:tabs>
      </w:pPr>
      <w:r>
        <w:t>TO:</w:t>
      </w:r>
      <w:r>
        <w:tab/>
      </w:r>
      <w:r>
        <w:tab/>
        <w:t>Public Service Commission</w:t>
      </w:r>
    </w:p>
    <w:p w:rsidR="005176AE" w:rsidRDefault="005176AE" w:rsidP="005176AE">
      <w:pPr>
        <w:pStyle w:val="Header"/>
        <w:tabs>
          <w:tab w:val="clear" w:pos="4320"/>
          <w:tab w:val="clear" w:pos="8640"/>
        </w:tabs>
        <w:ind w:left="-1260"/>
      </w:pPr>
    </w:p>
    <w:p w:rsidR="005176AE" w:rsidRDefault="005176AE" w:rsidP="005176AE">
      <w:pPr>
        <w:pStyle w:val="Header"/>
        <w:tabs>
          <w:tab w:val="clear" w:pos="4320"/>
          <w:tab w:val="clear" w:pos="8640"/>
        </w:tabs>
      </w:pPr>
      <w:r>
        <w:t xml:space="preserve">FROM: </w:t>
      </w:r>
      <w:r>
        <w:tab/>
        <w:t>Division of Public Utilities</w:t>
      </w:r>
    </w:p>
    <w:p w:rsidR="005176AE" w:rsidRDefault="005176AE" w:rsidP="005176AE">
      <w:pPr>
        <w:pStyle w:val="Header"/>
        <w:tabs>
          <w:tab w:val="clear" w:pos="4320"/>
          <w:tab w:val="clear" w:pos="8640"/>
        </w:tabs>
      </w:pPr>
      <w:r>
        <w:tab/>
      </w:r>
      <w:r>
        <w:tab/>
      </w:r>
      <w:r w:rsidR="00724923">
        <w:t>Chris Parker</w:t>
      </w:r>
      <w:r>
        <w:t>, Director,</w:t>
      </w:r>
    </w:p>
    <w:p w:rsidR="005176AE" w:rsidRDefault="005176AE" w:rsidP="005176AE">
      <w:pPr>
        <w:pStyle w:val="Header"/>
        <w:tabs>
          <w:tab w:val="clear" w:pos="4320"/>
          <w:tab w:val="clear" w:pos="8640"/>
        </w:tabs>
      </w:pPr>
      <w:r>
        <w:tab/>
      </w:r>
      <w:r>
        <w:tab/>
        <w:t>Artie Powell, Energy Manager</w:t>
      </w:r>
    </w:p>
    <w:p w:rsidR="005176AE" w:rsidRDefault="005176AE" w:rsidP="005176AE">
      <w:pPr>
        <w:pStyle w:val="Header"/>
        <w:tabs>
          <w:tab w:val="clear" w:pos="4320"/>
          <w:tab w:val="clear" w:pos="8640"/>
        </w:tabs>
      </w:pPr>
      <w:r>
        <w:tab/>
      </w:r>
      <w:r>
        <w:tab/>
      </w:r>
      <w:r w:rsidR="004773BB">
        <w:t xml:space="preserve">Doug Wheelwright, </w:t>
      </w:r>
      <w:r w:rsidR="00490EC5">
        <w:t>Technical Consulta</w:t>
      </w:r>
      <w:r w:rsidR="00641804">
        <w:t>n</w:t>
      </w:r>
      <w:r w:rsidR="00490EC5">
        <w:t>t</w:t>
      </w:r>
    </w:p>
    <w:p w:rsidR="005176AE" w:rsidRDefault="007A098D" w:rsidP="00AD013A">
      <w:pPr>
        <w:pStyle w:val="Header"/>
        <w:tabs>
          <w:tab w:val="clear" w:pos="4320"/>
          <w:tab w:val="clear" w:pos="8640"/>
        </w:tabs>
      </w:pPr>
      <w:r>
        <w:tab/>
      </w:r>
      <w:r>
        <w:tab/>
      </w:r>
      <w:r w:rsidR="005176AE">
        <w:tab/>
      </w:r>
      <w:r w:rsidR="005176AE">
        <w:tab/>
      </w:r>
      <w:r w:rsidR="005176AE">
        <w:tab/>
      </w:r>
    </w:p>
    <w:p w:rsidR="003646D6" w:rsidRDefault="004C419D" w:rsidP="005176AE">
      <w:pPr>
        <w:pStyle w:val="Header"/>
        <w:tabs>
          <w:tab w:val="clear" w:pos="4320"/>
          <w:tab w:val="clear" w:pos="8640"/>
        </w:tabs>
      </w:pPr>
      <w:r>
        <w:t>DATE:</w:t>
      </w:r>
      <w:r>
        <w:tab/>
      </w:r>
      <w:r>
        <w:tab/>
      </w:r>
      <w:r w:rsidR="00D01EF0">
        <w:t>May</w:t>
      </w:r>
      <w:r w:rsidR="00C35415">
        <w:t xml:space="preserve"> 1</w:t>
      </w:r>
      <w:r w:rsidR="009E1124">
        <w:t>6</w:t>
      </w:r>
      <w:r w:rsidR="003646D6">
        <w:t>, 2014</w:t>
      </w:r>
    </w:p>
    <w:p w:rsidR="005176AE" w:rsidRDefault="005176AE" w:rsidP="005176AE">
      <w:pPr>
        <w:pStyle w:val="Header"/>
        <w:tabs>
          <w:tab w:val="clear" w:pos="4320"/>
          <w:tab w:val="clear" w:pos="8640"/>
        </w:tabs>
        <w:ind w:left="-1260"/>
      </w:pPr>
    </w:p>
    <w:p w:rsidR="005176AE" w:rsidRDefault="005176AE" w:rsidP="005176AE">
      <w:pPr>
        <w:pStyle w:val="Header"/>
        <w:pBdr>
          <w:bottom w:val="single" w:sz="12" w:space="1" w:color="auto"/>
        </w:pBdr>
        <w:tabs>
          <w:tab w:val="clear" w:pos="4320"/>
          <w:tab w:val="clear" w:pos="8640"/>
        </w:tabs>
      </w:pPr>
      <w:r>
        <w:t>RE:</w:t>
      </w:r>
      <w:r>
        <w:tab/>
      </w:r>
      <w:r>
        <w:tab/>
      </w:r>
      <w:r w:rsidR="00EA2947">
        <w:t xml:space="preserve">Docket No. </w:t>
      </w:r>
      <w:r w:rsidR="00232501">
        <w:t>14-057-03</w:t>
      </w:r>
      <w:r w:rsidR="00EA2947">
        <w:t>,</w:t>
      </w:r>
      <w:r w:rsidR="00232501">
        <w:t xml:space="preserve"> </w:t>
      </w:r>
      <w:r>
        <w:t xml:space="preserve">Questar Gas </w:t>
      </w:r>
      <w:r w:rsidR="00232501">
        <w:t>Intercompany Loan Activity</w:t>
      </w:r>
    </w:p>
    <w:p w:rsidR="005176AE" w:rsidRDefault="005176AE" w:rsidP="005176AE">
      <w:pPr>
        <w:pStyle w:val="Header"/>
        <w:tabs>
          <w:tab w:val="clear" w:pos="4320"/>
          <w:tab w:val="clear" w:pos="8640"/>
        </w:tabs>
        <w:ind w:hanging="1260"/>
      </w:pPr>
    </w:p>
    <w:p w:rsidR="005176AE" w:rsidRDefault="00723150" w:rsidP="00AE58D8">
      <w:pPr>
        <w:pStyle w:val="Header"/>
        <w:tabs>
          <w:tab w:val="clear" w:pos="4320"/>
          <w:tab w:val="clear" w:pos="8640"/>
        </w:tabs>
        <w:spacing w:line="360" w:lineRule="auto"/>
        <w:jc w:val="both"/>
        <w:rPr>
          <w:b/>
          <w:bCs/>
        </w:rPr>
      </w:pPr>
      <w:r>
        <w:rPr>
          <w:b/>
          <w:bCs/>
        </w:rPr>
        <w:t xml:space="preserve">RECOMMENDATION – </w:t>
      </w:r>
      <w:r w:rsidR="002F1906">
        <w:rPr>
          <w:b/>
          <w:bCs/>
        </w:rPr>
        <w:t>Review the procedures and practices</w:t>
      </w:r>
    </w:p>
    <w:p w:rsidR="007B1050" w:rsidRDefault="00723150" w:rsidP="007B1050">
      <w:pPr>
        <w:pStyle w:val="Header"/>
        <w:tabs>
          <w:tab w:val="clear" w:pos="4320"/>
          <w:tab w:val="clear" w:pos="8640"/>
        </w:tabs>
        <w:spacing w:after="240" w:line="360" w:lineRule="auto"/>
      </w:pPr>
      <w:r>
        <w:t xml:space="preserve">Based upon the following analysis, the Division finds </w:t>
      </w:r>
      <w:r w:rsidR="00232501">
        <w:t>that Questar Gas is in compliance with the guidelines identified in Docket N</w:t>
      </w:r>
      <w:r>
        <w:t>o</w:t>
      </w:r>
      <w:r w:rsidR="00232501">
        <w:t xml:space="preserve">. 85-057-09.  </w:t>
      </w:r>
      <w:r w:rsidR="002F1906">
        <w:t xml:space="preserve">Due to the </w:t>
      </w:r>
      <w:r w:rsidR="00A46BF8">
        <w:t xml:space="preserve">amount of time that has elapsed since </w:t>
      </w:r>
      <w:r w:rsidR="001C2AE5">
        <w:t xml:space="preserve">intercompany lending </w:t>
      </w:r>
      <w:r w:rsidR="00A46BF8">
        <w:t xml:space="preserve">has been reviewed and </w:t>
      </w:r>
      <w:r w:rsidR="001C2AE5">
        <w:t xml:space="preserve">with </w:t>
      </w:r>
      <w:r w:rsidR="00A46BF8">
        <w:t xml:space="preserve">the organizational </w:t>
      </w:r>
      <w:r w:rsidR="002F1906">
        <w:t xml:space="preserve">changes </w:t>
      </w:r>
      <w:r w:rsidR="00A46BF8">
        <w:t xml:space="preserve">that have occurred </w:t>
      </w:r>
      <w:r w:rsidR="002F1906">
        <w:t xml:space="preserve">within Questar Corporation, the </w:t>
      </w:r>
      <w:r>
        <w:t xml:space="preserve">Division recommends that the Commission </w:t>
      </w:r>
      <w:r w:rsidR="002F1906">
        <w:t xml:space="preserve">open a new docket to examine and review the </w:t>
      </w:r>
      <w:r w:rsidR="00B126DC">
        <w:t xml:space="preserve">current </w:t>
      </w:r>
      <w:r w:rsidR="002F1906">
        <w:t xml:space="preserve">intercompany lending procedures and practices.  </w:t>
      </w:r>
      <w:r w:rsidR="00035031">
        <w:t xml:space="preserve">The Division does not have any recommendations to change the current intercompany lending program and </w:t>
      </w:r>
      <w:r w:rsidR="006D15DB">
        <w:t xml:space="preserve">concludes that ratepayers are not harmed under the current structure.  </w:t>
      </w:r>
      <w:r w:rsidR="007B1050">
        <w:t xml:space="preserve">The recommended review before the Commission is intended to provide an update to the current approval which will better reflect the current lending practices and the use of a revolving note for short-term lending to Questar Corporation.     </w:t>
      </w:r>
    </w:p>
    <w:p w:rsidR="00723150" w:rsidRDefault="00723150" w:rsidP="007B1050">
      <w:pPr>
        <w:pStyle w:val="Header"/>
        <w:tabs>
          <w:tab w:val="clear" w:pos="4320"/>
          <w:tab w:val="clear" w:pos="8640"/>
        </w:tabs>
        <w:spacing w:line="360" w:lineRule="auto"/>
        <w:rPr>
          <w:b/>
          <w:bCs/>
        </w:rPr>
      </w:pPr>
      <w:r>
        <w:rPr>
          <w:b/>
          <w:bCs/>
        </w:rPr>
        <w:t>ISSUE</w:t>
      </w:r>
    </w:p>
    <w:p w:rsidR="0073321C" w:rsidRDefault="00AD013A" w:rsidP="00FC62B1">
      <w:pPr>
        <w:pStyle w:val="Header"/>
        <w:tabs>
          <w:tab w:val="clear" w:pos="4320"/>
          <w:tab w:val="clear" w:pos="8640"/>
        </w:tabs>
        <w:spacing w:after="240" w:line="360" w:lineRule="auto"/>
      </w:pPr>
      <w:r>
        <w:t xml:space="preserve">On </w:t>
      </w:r>
      <w:r w:rsidR="0079343B">
        <w:t xml:space="preserve">April </w:t>
      </w:r>
      <w:r w:rsidR="00FA2DC2">
        <w:t>1</w:t>
      </w:r>
      <w:r w:rsidR="00232501">
        <w:t>4</w:t>
      </w:r>
      <w:r w:rsidR="00F17B64">
        <w:t>,</w:t>
      </w:r>
      <w:r>
        <w:t xml:space="preserve"> 20</w:t>
      </w:r>
      <w:r w:rsidR="006A1B47">
        <w:t>1</w:t>
      </w:r>
      <w:r w:rsidR="00D65AEE">
        <w:t>4</w:t>
      </w:r>
      <w:r w:rsidR="00E95BA1">
        <w:t>,</w:t>
      </w:r>
      <w:r>
        <w:t xml:space="preserve"> Questar Gas Company </w:t>
      </w:r>
      <w:r w:rsidR="00E9361A">
        <w:t>(QGC)</w:t>
      </w:r>
      <w:r w:rsidR="00232501">
        <w:t xml:space="preserve"> filed a report with the Commission showing the Intercompany loan activity with Questar Corporation as of </w:t>
      </w:r>
      <w:r w:rsidR="0079343B">
        <w:t>March 31</w:t>
      </w:r>
      <w:r w:rsidR="00232501">
        <w:t xml:space="preserve">, 2014.  The filing included the loan balance and the supporting interest calculations.  </w:t>
      </w:r>
      <w:r w:rsidR="000D45B4">
        <w:t xml:space="preserve">On </w:t>
      </w:r>
      <w:r w:rsidR="0079343B">
        <w:t>April 23</w:t>
      </w:r>
      <w:r w:rsidR="000D45B4" w:rsidRPr="008603FF">
        <w:t>,</w:t>
      </w:r>
      <w:r w:rsidR="000D45B4">
        <w:t xml:space="preserve"> 201</w:t>
      </w:r>
      <w:r w:rsidR="008603FF">
        <w:t>4</w:t>
      </w:r>
      <w:r w:rsidR="000D45B4">
        <w:t xml:space="preserve">, the </w:t>
      </w:r>
      <w:r w:rsidR="000D45B4">
        <w:lastRenderedPageBreak/>
        <w:t xml:space="preserve">Commission issued an Action Request to review </w:t>
      </w:r>
      <w:r w:rsidR="00232501">
        <w:t xml:space="preserve">for compliance with </w:t>
      </w:r>
      <w:r w:rsidR="002E019A">
        <w:t xml:space="preserve">the </w:t>
      </w:r>
      <w:r w:rsidR="0060076B">
        <w:t xml:space="preserve">Commission </w:t>
      </w:r>
      <w:r w:rsidR="002E019A">
        <w:t xml:space="preserve">order issued under </w:t>
      </w:r>
      <w:r w:rsidR="00232501">
        <w:t>Docket No. 85-057-09</w:t>
      </w:r>
      <w:r w:rsidR="00A46BF8">
        <w:t xml:space="preserve">.  </w:t>
      </w:r>
      <w:r w:rsidR="002F1906">
        <w:t>A</w:t>
      </w:r>
      <w:r w:rsidR="0079343B">
        <w:t>dditional questions</w:t>
      </w:r>
      <w:r w:rsidR="002F1906">
        <w:t xml:space="preserve"> were </w:t>
      </w:r>
      <w:r w:rsidR="00A46BF8">
        <w:t xml:space="preserve">included with the Action Request </w:t>
      </w:r>
      <w:r w:rsidR="0079343B">
        <w:t>concern</w:t>
      </w:r>
      <w:r w:rsidR="002F1906">
        <w:t xml:space="preserve">ing </w:t>
      </w:r>
      <w:r w:rsidR="0079343B">
        <w:t>the Company’s compliance with the filing requirements and changes that have occur</w:t>
      </w:r>
      <w:r w:rsidR="0031705D">
        <w:t>r</w:t>
      </w:r>
      <w:r w:rsidR="0079343B">
        <w:t xml:space="preserve">ed </w:t>
      </w:r>
      <w:r w:rsidR="0031705D">
        <w:t xml:space="preserve">in the </w:t>
      </w:r>
      <w:r w:rsidR="00A46BF8">
        <w:t>corporate</w:t>
      </w:r>
      <w:r w:rsidR="0031705D">
        <w:t xml:space="preserve"> structure since the approval of these guidelines in 1985.  </w:t>
      </w:r>
      <w:r w:rsidR="000D45B4">
        <w:t xml:space="preserve">This memo is the Division response to the Action Request.  </w:t>
      </w:r>
    </w:p>
    <w:p w:rsidR="005176AE" w:rsidRPr="00666E4D" w:rsidRDefault="005176AE" w:rsidP="00F80B33">
      <w:pPr>
        <w:pStyle w:val="Header"/>
        <w:tabs>
          <w:tab w:val="clear" w:pos="4320"/>
          <w:tab w:val="clear" w:pos="8640"/>
        </w:tabs>
        <w:spacing w:line="360" w:lineRule="auto"/>
        <w:jc w:val="both"/>
        <w:rPr>
          <w:b/>
        </w:rPr>
      </w:pPr>
      <w:r w:rsidRPr="00666E4D">
        <w:rPr>
          <w:b/>
        </w:rPr>
        <w:t>ANALYSIS</w:t>
      </w:r>
      <w:r w:rsidRPr="00666E4D">
        <w:rPr>
          <w:b/>
        </w:rPr>
        <w:tab/>
      </w:r>
    </w:p>
    <w:p w:rsidR="007D4B8A" w:rsidRDefault="007D4B8A" w:rsidP="00FC62B1">
      <w:pPr>
        <w:pStyle w:val="Header"/>
        <w:tabs>
          <w:tab w:val="clear" w:pos="4320"/>
          <w:tab w:val="clear" w:pos="8640"/>
        </w:tabs>
        <w:spacing w:after="240" w:line="360" w:lineRule="auto"/>
      </w:pPr>
      <w:r>
        <w:t>In Docket No. 85-057-09, Mountain Fuel Supply Company was approved to make short-term loans to its parent, Questar</w:t>
      </w:r>
      <w:r w:rsidRPr="007D4B8A">
        <w:t xml:space="preserve"> </w:t>
      </w:r>
      <w:r>
        <w:t xml:space="preserve">Corporation, under certain limited conditions.  Loans to the parent company would provide Mountain Fuel with the opportunity to earn an interest rate on excess cash that was at least as favorable as the interest rate </w:t>
      </w:r>
      <w:r w:rsidR="00B532F6">
        <w:t>that could be earned using o</w:t>
      </w:r>
      <w:r>
        <w:t xml:space="preserve">ther </w:t>
      </w:r>
      <w:r w:rsidR="00B532F6">
        <w:t xml:space="preserve">short-term investments.  The interest rate for loans to Questar Corporation would be set by determining a “market borrowing rate” for short-term loans and a “market investment rate” for investments available to Mountain Fuel.   These two rates would be summed together and averaged to calculate an “intercompany interest rate”.  </w:t>
      </w:r>
      <w:r w:rsidR="0060076B">
        <w:t xml:space="preserve">By averaging the borrowing and lending rates, </w:t>
      </w:r>
      <w:r w:rsidR="00B532F6">
        <w:t xml:space="preserve">Mountain Fuel would receive interest from loans to Questar Corporation at a rate that is slightly higher than the “market investment rate”.  Questar Corporation would in turn pay interest on short-term loans </w:t>
      </w:r>
      <w:r w:rsidR="00D57457">
        <w:t xml:space="preserve">at a rate that is slightly lower than the “market borrowing rate”.  </w:t>
      </w:r>
    </w:p>
    <w:p w:rsidR="0060076B" w:rsidRDefault="0060076B" w:rsidP="0060076B">
      <w:pPr>
        <w:pStyle w:val="Header"/>
        <w:tabs>
          <w:tab w:val="clear" w:pos="4320"/>
          <w:tab w:val="clear" w:pos="8640"/>
        </w:tabs>
        <w:spacing w:after="240" w:line="360" w:lineRule="auto"/>
      </w:pPr>
      <w:r>
        <w:t xml:space="preserve">The December 2013 Form 10-K annual report for Questar Corporation identifies intercompany short-term debt as follows; </w:t>
      </w:r>
    </w:p>
    <w:p w:rsidR="0060076B" w:rsidRDefault="0060076B" w:rsidP="0060076B">
      <w:pPr>
        <w:pStyle w:val="Header"/>
        <w:tabs>
          <w:tab w:val="clear" w:pos="4320"/>
          <w:tab w:val="clear" w:pos="8640"/>
        </w:tabs>
        <w:spacing w:after="240" w:line="276" w:lineRule="auto"/>
        <w:ind w:left="720" w:right="720"/>
      </w:pPr>
      <w:r>
        <w:t xml:space="preserve">Questar </w:t>
      </w:r>
      <w:r w:rsidR="005F0151">
        <w:t xml:space="preserve">(Corp) </w:t>
      </w:r>
      <w:r>
        <w:t>centrally manages cash.  Questar makes loans to Questar Gas and Questar Pipeline under a short-term borrowing arrangement.  Amounts loaned earn an interest rate that is identical to the interest rate paid on amounts borrowed.  The rate is adjusted monthly based on prevailing short-term market interest rates.</w:t>
      </w:r>
      <w:r>
        <w:rPr>
          <w:rStyle w:val="FootnoteReference"/>
        </w:rPr>
        <w:footnoteReference w:id="1"/>
      </w:r>
      <w:r>
        <w:t xml:space="preserve">  </w:t>
      </w:r>
    </w:p>
    <w:p w:rsidR="0084395C" w:rsidRDefault="00BE2747" w:rsidP="0084395C">
      <w:pPr>
        <w:pStyle w:val="Header"/>
        <w:tabs>
          <w:tab w:val="clear" w:pos="4320"/>
          <w:tab w:val="clear" w:pos="8640"/>
        </w:tabs>
        <w:spacing w:after="240" w:line="360" w:lineRule="auto"/>
      </w:pPr>
      <w:r>
        <w:t>In the past i</w:t>
      </w:r>
      <w:r w:rsidR="0060076B">
        <w:t xml:space="preserve">t </w:t>
      </w:r>
      <w:r>
        <w:t xml:space="preserve">has been </w:t>
      </w:r>
      <w:r w:rsidR="0060076B">
        <w:t>more common for Questar Corporation to lend money to Questar Gas on a short term</w:t>
      </w:r>
      <w:r>
        <w:t xml:space="preserve"> </w:t>
      </w:r>
      <w:r w:rsidR="0060076B">
        <w:t>basis however</w:t>
      </w:r>
      <w:r>
        <w:t>,</w:t>
      </w:r>
      <w:r w:rsidR="0060076B">
        <w:t xml:space="preserve"> </w:t>
      </w:r>
      <w:r w:rsidR="00FA2DC2">
        <w:t xml:space="preserve">since </w:t>
      </w:r>
      <w:r w:rsidR="0060076B">
        <w:t>January 31, 201</w:t>
      </w:r>
      <w:r w:rsidR="00FA2DC2">
        <w:t>4</w:t>
      </w:r>
      <w:r w:rsidR="0060076B">
        <w:t xml:space="preserve">, Questar Gas </w:t>
      </w:r>
      <w:r w:rsidR="00FA2DC2">
        <w:t xml:space="preserve">has provided loans to Questar Corporation due to an </w:t>
      </w:r>
      <w:r>
        <w:t xml:space="preserve">excess cash </w:t>
      </w:r>
      <w:r w:rsidR="00FA2DC2">
        <w:t>position</w:t>
      </w:r>
      <w:r w:rsidR="00FA2DC2" w:rsidRPr="00467FE7">
        <w:t xml:space="preserve">.  </w:t>
      </w:r>
      <w:r w:rsidR="0084395C" w:rsidRPr="00467FE7">
        <w:t xml:space="preserve">Questar Gas is currently in an excess cash position </w:t>
      </w:r>
      <w:r w:rsidR="0084395C" w:rsidRPr="00467FE7">
        <w:lastRenderedPageBreak/>
        <w:t xml:space="preserve">due to the seasonality of the business and the </w:t>
      </w:r>
      <w:r w:rsidR="00467FE7" w:rsidRPr="00467FE7">
        <w:t xml:space="preserve">recent </w:t>
      </w:r>
      <w:r w:rsidR="0084395C" w:rsidRPr="00467FE7">
        <w:t xml:space="preserve">issuance of additional long term debt.  In December 2013, Questar Gas issued a $90 million 30 year bond with an interest rate of 4.78% and a $60 million 35 year note with an interest rate of 4.83%.  </w:t>
      </w:r>
      <w:r w:rsidR="00467FE7">
        <w:t>Notes were issued in December to take advantage of the attractive long term interest rates</w:t>
      </w:r>
      <w:r w:rsidR="0076222E">
        <w:t xml:space="preserve"> available at that time</w:t>
      </w:r>
      <w:r w:rsidR="00467FE7">
        <w:t xml:space="preserve">.  Based on the </w:t>
      </w:r>
      <w:r w:rsidR="00DF42AC">
        <w:t>1985</w:t>
      </w:r>
      <w:r w:rsidR="00467FE7">
        <w:t xml:space="preserve"> order from the Commission, Questar Gas is required to file a report with the Commission when the Company is lending funds to the Corporation.  </w:t>
      </w:r>
    </w:p>
    <w:p w:rsidR="00E368FF" w:rsidRDefault="00467FE7" w:rsidP="00FC62B1">
      <w:pPr>
        <w:pStyle w:val="Header"/>
        <w:tabs>
          <w:tab w:val="clear" w:pos="4320"/>
          <w:tab w:val="clear" w:pos="8640"/>
        </w:tabs>
        <w:spacing w:after="240" w:line="360" w:lineRule="auto"/>
      </w:pPr>
      <w:r>
        <w:t xml:space="preserve">As of </w:t>
      </w:r>
      <w:r w:rsidR="00E368FF">
        <w:t xml:space="preserve">March 31, </w:t>
      </w:r>
      <w:r>
        <w:t xml:space="preserve">2014, </w:t>
      </w:r>
      <w:r w:rsidR="00FA2DC2">
        <w:t>the loan amount to Questar Corp was</w:t>
      </w:r>
      <w:r w:rsidR="00E368FF">
        <w:t xml:space="preserve"> $30.6</w:t>
      </w:r>
      <w:r w:rsidR="00FA2DC2">
        <w:t xml:space="preserve"> </w:t>
      </w:r>
      <w:r w:rsidR="00E368FF">
        <w:t xml:space="preserve">million which is an increase from the </w:t>
      </w:r>
      <w:r>
        <w:t xml:space="preserve">$20.2 million </w:t>
      </w:r>
      <w:r w:rsidR="00E368FF">
        <w:t xml:space="preserve">as of February 28, 2014 and the </w:t>
      </w:r>
      <w:r w:rsidR="00FA2DC2">
        <w:t>$3.2 million</w:t>
      </w:r>
      <w:r>
        <w:t xml:space="preserve"> loan balance as of January 31, 2014</w:t>
      </w:r>
      <w:r w:rsidR="00FA2DC2">
        <w:t xml:space="preserve">.  </w:t>
      </w:r>
      <w:r w:rsidR="00FA0C4A">
        <w:t xml:space="preserve">While it appears that the outstanding balance has grown over the past 90 days, the investment log included with the filing provides a different perspective with advances and repayment occurring on a </w:t>
      </w:r>
      <w:r w:rsidR="002F1906">
        <w:t>regular</w:t>
      </w:r>
      <w:r w:rsidR="00FA0C4A">
        <w:t xml:space="preserve"> basis.  </w:t>
      </w:r>
      <w:r w:rsidR="002831A3">
        <w:t xml:space="preserve">The </w:t>
      </w:r>
      <w:r w:rsidR="003A2B7B">
        <w:t xml:space="preserve">investment log and the </w:t>
      </w:r>
      <w:r w:rsidR="002831A3">
        <w:t>chart below show the outstanding balance of the intercompany loan from January 7, 2014 through March 31, 2014</w:t>
      </w:r>
      <w:r w:rsidR="003A2B7B">
        <w:t xml:space="preserve">.  The chart </w:t>
      </w:r>
      <w:r w:rsidR="002831A3">
        <w:t xml:space="preserve">provides a visual comparison of how the balance </w:t>
      </w:r>
      <w:r w:rsidR="002F1906">
        <w:t xml:space="preserve">has </w:t>
      </w:r>
      <w:r w:rsidR="002831A3">
        <w:t>fluctuate</w:t>
      </w:r>
      <w:r w:rsidR="002F1906">
        <w:t>d</w:t>
      </w:r>
      <w:r w:rsidR="002831A3">
        <w:t xml:space="preserve"> over </w:t>
      </w:r>
      <w:r w:rsidR="002F1906">
        <w:t>the 90 day period</w:t>
      </w:r>
      <w:r w:rsidR="003A2B7B">
        <w:t xml:space="preserve"> with both advances and repayment</w:t>
      </w:r>
      <w:r w:rsidR="002831A3">
        <w:t xml:space="preserve">.  </w:t>
      </w:r>
      <w:r w:rsidR="003A2B7B">
        <w:t xml:space="preserve">Over the 90 day period, </w:t>
      </w:r>
      <w:r w:rsidR="009A796A">
        <w:t>t</w:t>
      </w:r>
      <w:r w:rsidR="003B496D">
        <w:t xml:space="preserve">here </w:t>
      </w:r>
      <w:r w:rsidR="003A2B7B">
        <w:t>were</w:t>
      </w:r>
      <w:r w:rsidR="003B496D">
        <w:t xml:space="preserve"> five </w:t>
      </w:r>
      <w:r w:rsidR="003A2B7B">
        <w:t xml:space="preserve">times </w:t>
      </w:r>
      <w:r w:rsidR="003B496D">
        <w:t>when the loan amount has reached or has been very close to the $50 million maximum amount</w:t>
      </w:r>
      <w:r w:rsidR="009A796A">
        <w:t xml:space="preserve"> with subsequent repayments</w:t>
      </w:r>
      <w:r w:rsidR="003B496D">
        <w:t xml:space="preserve">.  With cash managed at the corporate level, the intercompany loan balance </w:t>
      </w:r>
      <w:r w:rsidR="00F705EB">
        <w:t>is</w:t>
      </w:r>
      <w:r w:rsidR="003B496D">
        <w:t xml:space="preserve"> functioning similar to a revolving line of credit</w:t>
      </w:r>
      <w:r w:rsidR="009A796A">
        <w:t xml:space="preserve"> as opposed to individual notes with specific repayment terms</w:t>
      </w:r>
      <w:r w:rsidR="003B496D">
        <w:t xml:space="preserve">.  </w:t>
      </w:r>
    </w:p>
    <w:p w:rsidR="002831A3" w:rsidRDefault="00AC6256" w:rsidP="002831A3">
      <w:pPr>
        <w:pStyle w:val="Header"/>
        <w:tabs>
          <w:tab w:val="clear" w:pos="4320"/>
          <w:tab w:val="clear" w:pos="8640"/>
        </w:tabs>
        <w:spacing w:after="240" w:line="360" w:lineRule="auto"/>
        <w:ind w:firstLine="720"/>
      </w:pPr>
      <w:r>
        <w:rPr>
          <w:noProof/>
        </w:rPr>
        <w:lastRenderedPageBreak/>
        <w:drawing>
          <wp:inline distT="0" distB="0" distL="0" distR="0">
            <wp:extent cx="4572635" cy="2746375"/>
            <wp:effectExtent l="0" t="0" r="18415" b="1587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2595" w:rsidRDefault="00BB2595" w:rsidP="00BB2595">
      <w:pPr>
        <w:pStyle w:val="Header"/>
        <w:tabs>
          <w:tab w:val="clear" w:pos="4320"/>
          <w:tab w:val="clear" w:pos="8640"/>
        </w:tabs>
        <w:spacing w:after="240" w:line="360" w:lineRule="auto"/>
      </w:pPr>
      <w:r>
        <w:t>The intercompany interest rate is calculated the same for both the borrowing and the lending entities and is shown in detail on page 2 of the filing.  The investment rate is calculated by taking the average of four short term (1 month) money market rates and is calculated to be 0.075% for the period under review.  The borrowing rate is calculated by taking the average of four short term (1 month) lending rates and is calculated to be 0.3503% for the period under review.  The borrowing rate and the lending rate are then averaged to determine the intercompany lending rate of 0.43% for the period</w:t>
      </w:r>
      <w:r w:rsidR="009E1124">
        <w:t xml:space="preserve"> ending March 31, 2014</w:t>
      </w:r>
      <w:r>
        <w:t xml:space="preserve">.  The intercompany interest rate is calculated each month and will change based on the current market conditions which will fluctuate with the </w:t>
      </w:r>
      <w:r w:rsidR="009E1124">
        <w:t xml:space="preserve">change in </w:t>
      </w:r>
      <w:r>
        <w:t>market interest rates.  It appears that the Company is consistent in the way it is calculating the applicable interest rate and is following the guidelines established in the Commission order.  It is anticipated that Questar Gas will be in a positive cash and lending position through at least the second quarter of 2014 and will be filing monthly reports with the Commission</w:t>
      </w:r>
      <w:r w:rsidR="009E1124">
        <w:t xml:space="preserve"> to report the current balance</w:t>
      </w:r>
      <w:r>
        <w:t xml:space="preserve">.  </w:t>
      </w:r>
    </w:p>
    <w:p w:rsidR="00183A10" w:rsidRDefault="009A796A" w:rsidP="00FC62B1">
      <w:pPr>
        <w:pStyle w:val="Header"/>
        <w:tabs>
          <w:tab w:val="clear" w:pos="4320"/>
          <w:tab w:val="clear" w:pos="8640"/>
        </w:tabs>
        <w:spacing w:after="240" w:line="360" w:lineRule="auto"/>
      </w:pPr>
      <w:r>
        <w:t>As part of the approval in the 1985 order, the Commission</w:t>
      </w:r>
      <w:r w:rsidR="00183A10">
        <w:t xml:space="preserve"> identified </w:t>
      </w:r>
      <w:r w:rsidR="00D1252F">
        <w:t>specific c</w:t>
      </w:r>
      <w:r w:rsidR="00BB2595">
        <w:t>onditions</w:t>
      </w:r>
      <w:r w:rsidR="00D1252F">
        <w:t xml:space="preserve"> that </w:t>
      </w:r>
      <w:r w:rsidR="00BB2595">
        <w:t>were</w:t>
      </w:r>
      <w:r w:rsidR="00183A10">
        <w:t xml:space="preserve"> required for the </w:t>
      </w:r>
      <w:r w:rsidR="009E1124">
        <w:t xml:space="preserve">intercompany </w:t>
      </w:r>
      <w:r w:rsidR="00183A10">
        <w:t>lending program as follows:</w:t>
      </w:r>
    </w:p>
    <w:p w:rsidR="00183A10" w:rsidRDefault="00183A10" w:rsidP="00183A10">
      <w:pPr>
        <w:pStyle w:val="Header"/>
        <w:numPr>
          <w:ilvl w:val="0"/>
          <w:numId w:val="3"/>
        </w:numPr>
        <w:tabs>
          <w:tab w:val="clear" w:pos="4320"/>
          <w:tab w:val="clear" w:pos="8640"/>
        </w:tabs>
      </w:pPr>
      <w:r>
        <w:t>The term of any loan to Questar shall not exceed 90 days</w:t>
      </w:r>
    </w:p>
    <w:p w:rsidR="00183A10" w:rsidRDefault="00183A10" w:rsidP="00183A10">
      <w:pPr>
        <w:pStyle w:val="Header"/>
        <w:numPr>
          <w:ilvl w:val="0"/>
          <w:numId w:val="3"/>
        </w:numPr>
        <w:tabs>
          <w:tab w:val="clear" w:pos="4320"/>
          <w:tab w:val="clear" w:pos="8640"/>
        </w:tabs>
      </w:pPr>
      <w:r>
        <w:t>All borrowing will be supported by a promissory note</w:t>
      </w:r>
    </w:p>
    <w:p w:rsidR="00183A10" w:rsidRDefault="00183A10" w:rsidP="00183A10">
      <w:pPr>
        <w:pStyle w:val="Header"/>
        <w:numPr>
          <w:ilvl w:val="0"/>
          <w:numId w:val="3"/>
        </w:numPr>
        <w:tabs>
          <w:tab w:val="clear" w:pos="4320"/>
          <w:tab w:val="clear" w:pos="8640"/>
        </w:tabs>
      </w:pPr>
      <w:r>
        <w:lastRenderedPageBreak/>
        <w:t>No new loans would be advanced if the Company had any short term borrowings</w:t>
      </w:r>
    </w:p>
    <w:p w:rsidR="00183A10" w:rsidRDefault="00183A10" w:rsidP="00D1252F">
      <w:pPr>
        <w:pStyle w:val="Header"/>
        <w:numPr>
          <w:ilvl w:val="0"/>
          <w:numId w:val="3"/>
        </w:numPr>
        <w:tabs>
          <w:tab w:val="clear" w:pos="4320"/>
          <w:tab w:val="clear" w:pos="8640"/>
        </w:tabs>
        <w:spacing w:after="240"/>
      </w:pPr>
      <w:r>
        <w:t>Interest would be payable at a per annum rate at least as favorable as could otherwise be earned on similar investments</w:t>
      </w:r>
      <w:r w:rsidR="00C06F54">
        <w:rPr>
          <w:rStyle w:val="FootnoteReference"/>
        </w:rPr>
        <w:footnoteReference w:id="2"/>
      </w:r>
    </w:p>
    <w:p w:rsidR="00D1252F" w:rsidRDefault="00D1252F" w:rsidP="0087210D">
      <w:pPr>
        <w:pStyle w:val="Header"/>
        <w:tabs>
          <w:tab w:val="clear" w:pos="4320"/>
          <w:tab w:val="clear" w:pos="8640"/>
        </w:tabs>
        <w:spacing w:after="240" w:line="360" w:lineRule="auto"/>
      </w:pPr>
      <w:r>
        <w:t xml:space="preserve">Since the current lending is functioning as a revolving line as opposed to </w:t>
      </w:r>
      <w:r w:rsidR="0087210D">
        <w:t xml:space="preserve">single </w:t>
      </w:r>
      <w:r>
        <w:t xml:space="preserve">individual notes, the Company </w:t>
      </w:r>
      <w:r w:rsidR="0087210D">
        <w:t xml:space="preserve">has </w:t>
      </w:r>
      <w:r>
        <w:t xml:space="preserve">executed a Subordinated Promissory Note for $50 million </w:t>
      </w:r>
      <w:r w:rsidR="0087210D">
        <w:t xml:space="preserve">dated </w:t>
      </w:r>
      <w:r>
        <w:t xml:space="preserve">June 10, 2010.  </w:t>
      </w:r>
      <w:r w:rsidR="0087210D">
        <w:t xml:space="preserve">A copy of the promissory note has been included as </w:t>
      </w:r>
      <w:r w:rsidR="006244E5">
        <w:t>A</w:t>
      </w:r>
      <w:r w:rsidR="0087210D">
        <w:t xml:space="preserve">ttachment 1.  </w:t>
      </w:r>
      <w:r>
        <w:t xml:space="preserve">The demand note identifies </w:t>
      </w:r>
      <w:r w:rsidR="0087210D">
        <w:t xml:space="preserve">the total loan amount and </w:t>
      </w:r>
      <w:r>
        <w:t>the</w:t>
      </w:r>
      <w:r w:rsidR="0087210D">
        <w:t xml:space="preserve"> intercompany interest rate calculation.  </w:t>
      </w:r>
      <w:r w:rsidR="006244E5">
        <w:t xml:space="preserve">Attachment 2 is a copy of the Revolving Grid Promissory Note executed on January 1, 2014.  This document identifies the $50 million loan amount and the </w:t>
      </w:r>
      <w:r w:rsidR="00BB2595">
        <w:t xml:space="preserve">maximum term of </w:t>
      </w:r>
      <w:r w:rsidR="006244E5">
        <w:t>90 day</w:t>
      </w:r>
      <w:r w:rsidR="00BB2595">
        <w:t>s</w:t>
      </w:r>
      <w:r w:rsidR="006244E5">
        <w:t xml:space="preserve">.  </w:t>
      </w:r>
      <w:r w:rsidR="00BB2595">
        <w:t>The daily balance of the loan has been provided in the Investment</w:t>
      </w:r>
      <w:r w:rsidR="006244E5">
        <w:t xml:space="preserve"> </w:t>
      </w:r>
      <w:r w:rsidR="00BB2595">
        <w:t>L</w:t>
      </w:r>
      <w:r w:rsidR="006244E5">
        <w:t>og included with the filing</w:t>
      </w:r>
      <w:r w:rsidR="00BB2595">
        <w:t xml:space="preserve">.  The log indicates that the </w:t>
      </w:r>
      <w:r w:rsidR="0087210D">
        <w:t>loan was paid down and had a $0 balance as of January 27,</w:t>
      </w:r>
      <w:r w:rsidR="0087210D">
        <w:rPr>
          <w:vertAlign w:val="superscript"/>
        </w:rPr>
        <w:t xml:space="preserve"> </w:t>
      </w:r>
      <w:r w:rsidR="0087210D">
        <w:t>2014</w:t>
      </w:r>
      <w:r w:rsidR="00BB2595">
        <w:t xml:space="preserve"> followed by additional advances and repayment.  </w:t>
      </w:r>
      <w:r w:rsidR="006244E5">
        <w:t>As of March 31, 2014</w:t>
      </w:r>
      <w:r w:rsidR="0087210D">
        <w:t>, no funds have been advanced beyond 90 days</w:t>
      </w:r>
      <w:r w:rsidR="006244E5">
        <w:t xml:space="preserve"> and </w:t>
      </w:r>
      <w:r w:rsidR="0087210D">
        <w:t>the Company has no short term borrowing</w:t>
      </w:r>
      <w:r w:rsidR="006244E5">
        <w:t xml:space="preserve">.  </w:t>
      </w:r>
      <w:r w:rsidR="0087210D">
        <w:t xml:space="preserve">  </w:t>
      </w:r>
      <w:r>
        <w:t xml:space="preserve"> </w:t>
      </w:r>
    </w:p>
    <w:p w:rsidR="009A796A" w:rsidRDefault="00183A10" w:rsidP="00FC62B1">
      <w:pPr>
        <w:pStyle w:val="Header"/>
        <w:tabs>
          <w:tab w:val="clear" w:pos="4320"/>
          <w:tab w:val="clear" w:pos="8640"/>
        </w:tabs>
        <w:spacing w:line="360" w:lineRule="auto"/>
      </w:pPr>
      <w:r>
        <w:t xml:space="preserve">In addition to the </w:t>
      </w:r>
      <w:r w:rsidR="00035031">
        <w:t xml:space="preserve">requirements </w:t>
      </w:r>
      <w:r w:rsidR="004B3307">
        <w:t>specified</w:t>
      </w:r>
      <w:r w:rsidR="00C06F54">
        <w:t xml:space="preserve"> above</w:t>
      </w:r>
      <w:r>
        <w:t xml:space="preserve">, the order </w:t>
      </w:r>
      <w:r w:rsidR="009A796A">
        <w:t xml:space="preserve">identified 5 </w:t>
      </w:r>
      <w:r w:rsidR="00C06F54">
        <w:t xml:space="preserve">additional </w:t>
      </w:r>
      <w:r w:rsidR="009A796A">
        <w:t>items that should be included for regulatory oversight of the lending activity</w:t>
      </w:r>
      <w:r>
        <w:t>:</w:t>
      </w:r>
      <w:r w:rsidR="009A796A">
        <w:t xml:space="preserve">  </w:t>
      </w:r>
    </w:p>
    <w:p w:rsidR="009A796A" w:rsidRDefault="009A796A" w:rsidP="00183A10">
      <w:pPr>
        <w:pStyle w:val="Header"/>
        <w:numPr>
          <w:ilvl w:val="0"/>
          <w:numId w:val="2"/>
        </w:numPr>
        <w:tabs>
          <w:tab w:val="clear" w:pos="4320"/>
          <w:tab w:val="clear" w:pos="8640"/>
        </w:tabs>
      </w:pPr>
      <w:r>
        <w:t>Date of loans</w:t>
      </w:r>
    </w:p>
    <w:p w:rsidR="009A796A" w:rsidRDefault="009A796A" w:rsidP="00183A10">
      <w:pPr>
        <w:pStyle w:val="Header"/>
        <w:numPr>
          <w:ilvl w:val="0"/>
          <w:numId w:val="2"/>
        </w:numPr>
        <w:tabs>
          <w:tab w:val="clear" w:pos="4320"/>
          <w:tab w:val="clear" w:pos="8640"/>
        </w:tabs>
      </w:pPr>
      <w:r>
        <w:t>Amount of loans</w:t>
      </w:r>
    </w:p>
    <w:p w:rsidR="009A796A" w:rsidRDefault="009A796A" w:rsidP="00183A10">
      <w:pPr>
        <w:pStyle w:val="Header"/>
        <w:numPr>
          <w:ilvl w:val="0"/>
          <w:numId w:val="2"/>
        </w:numPr>
        <w:tabs>
          <w:tab w:val="clear" w:pos="4320"/>
          <w:tab w:val="clear" w:pos="8640"/>
        </w:tabs>
      </w:pPr>
      <w:r>
        <w:t>Loan rate and details of its calculation</w:t>
      </w:r>
    </w:p>
    <w:p w:rsidR="009A796A" w:rsidRDefault="009A796A" w:rsidP="00183A10">
      <w:pPr>
        <w:pStyle w:val="Header"/>
        <w:numPr>
          <w:ilvl w:val="0"/>
          <w:numId w:val="2"/>
        </w:numPr>
        <w:tabs>
          <w:tab w:val="clear" w:pos="4320"/>
          <w:tab w:val="clear" w:pos="8640"/>
        </w:tabs>
      </w:pPr>
      <w:r>
        <w:t>Length of loan</w:t>
      </w:r>
    </w:p>
    <w:p w:rsidR="00183A10" w:rsidRDefault="00183A10" w:rsidP="00183A10">
      <w:pPr>
        <w:pStyle w:val="Header"/>
        <w:numPr>
          <w:ilvl w:val="0"/>
          <w:numId w:val="2"/>
        </w:numPr>
        <w:tabs>
          <w:tab w:val="clear" w:pos="4320"/>
          <w:tab w:val="clear" w:pos="8640"/>
        </w:tabs>
        <w:spacing w:after="240"/>
      </w:pPr>
      <w:r>
        <w:t>Date of repayment and current balance</w:t>
      </w:r>
      <w:r w:rsidR="00C06F54">
        <w:rPr>
          <w:rStyle w:val="FootnoteReference"/>
        </w:rPr>
        <w:footnoteReference w:id="3"/>
      </w:r>
    </w:p>
    <w:p w:rsidR="003E1B74" w:rsidRDefault="006244E5" w:rsidP="00FA34BA">
      <w:pPr>
        <w:pStyle w:val="Header"/>
        <w:tabs>
          <w:tab w:val="clear" w:pos="4320"/>
          <w:tab w:val="clear" w:pos="8640"/>
        </w:tabs>
        <w:spacing w:after="240" w:line="360" w:lineRule="auto"/>
      </w:pPr>
      <w:r>
        <w:t xml:space="preserve">As mentioned above, the current loan structure is </w:t>
      </w:r>
      <w:r w:rsidR="004B3307">
        <w:t xml:space="preserve">similar to </w:t>
      </w:r>
      <w:r>
        <w:t xml:space="preserve">a revolving note with periodic advances and repayment.  The amount </w:t>
      </w:r>
      <w:r w:rsidR="00FA34BA">
        <w:t xml:space="preserve">of each advance, the current balance and any repayment amount is identified by date on the </w:t>
      </w:r>
      <w:r w:rsidR="00C06F54">
        <w:t>I</w:t>
      </w:r>
      <w:r w:rsidR="00FA34BA">
        <w:t xml:space="preserve">nvestment </w:t>
      </w:r>
      <w:r w:rsidR="00C06F54">
        <w:t>L</w:t>
      </w:r>
      <w:r w:rsidR="00FA34BA">
        <w:t xml:space="preserve">og included with the filing.  While the specific loan length is not identified for each advance, the promissory note identifies </w:t>
      </w:r>
      <w:r w:rsidR="009E1124">
        <w:t xml:space="preserve">that this is a demand note with a </w:t>
      </w:r>
      <w:r w:rsidR="00FA34BA">
        <w:t xml:space="preserve">maximum period of 90 days. </w:t>
      </w:r>
      <w:r w:rsidR="00035031">
        <w:t xml:space="preserve"> The Division has </w:t>
      </w:r>
      <w:r w:rsidR="006D15DB">
        <w:t xml:space="preserve">also </w:t>
      </w:r>
      <w:r w:rsidR="00035031">
        <w:t xml:space="preserve">verified that each advance have been approved by the Treasurer as required by the Promissory Note.  </w:t>
      </w:r>
      <w:r w:rsidR="00FE0D8B">
        <w:t xml:space="preserve">Electronic approval by the Chief Financial Officer with a date and time stamps are recorded for each advance.  </w:t>
      </w:r>
      <w:r w:rsidR="006D15DB">
        <w:t xml:space="preserve">While the </w:t>
      </w:r>
      <w:r w:rsidR="006D15DB">
        <w:lastRenderedPageBreak/>
        <w:t xml:space="preserve">current lending structure is different than having individual notes as anticipated in the 1985 approval, the Company has provided documentation to support compliance with the order.   </w:t>
      </w:r>
      <w:r w:rsidR="00FA34BA">
        <w:t xml:space="preserve"> </w:t>
      </w:r>
    </w:p>
    <w:p w:rsidR="003F1490" w:rsidRDefault="000F60DF" w:rsidP="00117A6C">
      <w:pPr>
        <w:pStyle w:val="Header"/>
        <w:tabs>
          <w:tab w:val="clear" w:pos="4320"/>
          <w:tab w:val="clear" w:pos="8640"/>
        </w:tabs>
        <w:spacing w:after="240" w:line="360" w:lineRule="auto"/>
      </w:pPr>
      <w:r>
        <w:t xml:space="preserve">The </w:t>
      </w:r>
      <w:r w:rsidR="005C613A">
        <w:t>Action Request</w:t>
      </w:r>
      <w:r w:rsidR="0036559D">
        <w:t xml:space="preserve"> </w:t>
      </w:r>
      <w:r w:rsidR="005C613A">
        <w:t xml:space="preserve">asked for additional analysis to determine if the </w:t>
      </w:r>
      <w:r w:rsidR="006D15DB">
        <w:t xml:space="preserve">intercompany loan program is still in the best interest of the Questar and its utility customers.  </w:t>
      </w:r>
      <w:r w:rsidR="0036559D">
        <w:t>It has been nearly 30 years since the Commission issued the order on intercompany l</w:t>
      </w:r>
      <w:r w:rsidR="00CB416D">
        <w:t xml:space="preserve">ending </w:t>
      </w:r>
      <w:r w:rsidR="0036559D">
        <w:t xml:space="preserve">and many things within the Company and within the lending environment </w:t>
      </w:r>
      <w:r w:rsidR="00FE0D8B">
        <w:t xml:space="preserve">have changed </w:t>
      </w:r>
      <w:r w:rsidR="0036559D">
        <w:t xml:space="preserve">since the order was issued.  </w:t>
      </w:r>
      <w:r w:rsidR="00A14C71">
        <w:t xml:space="preserve">While </w:t>
      </w:r>
      <w:r w:rsidR="004B3307">
        <w:t xml:space="preserve">the Division concludes that </w:t>
      </w:r>
      <w:r w:rsidR="00A14C71">
        <w:t xml:space="preserve">the Company is </w:t>
      </w:r>
      <w:r w:rsidR="004B3307">
        <w:t xml:space="preserve">generally </w:t>
      </w:r>
      <w:r w:rsidR="00A14C71">
        <w:t>in compliance with the broad terms identified in the 1985 order, a revolving line is a different financing structure than what was anticipated</w:t>
      </w:r>
      <w:r w:rsidR="004B3307">
        <w:t xml:space="preserve"> in the 1985 order</w:t>
      </w:r>
      <w:r w:rsidR="00A14C71">
        <w:t xml:space="preserve">.  </w:t>
      </w:r>
      <w:r w:rsidR="00C20871">
        <w:t xml:space="preserve">The program has worked well and historically has provided Questar Gas with a source of funds for short term borrowing compared to short term lending.  </w:t>
      </w:r>
      <w:r w:rsidR="00C20871" w:rsidRPr="00441817">
        <w:t>Prior to the January 2014 filing, the last time the Company was lending to the Corporation was in 2009.</w:t>
      </w:r>
      <w:r w:rsidR="00C20871">
        <w:t xml:space="preserve">  When the Company is in a borrowing position, the interest rate </w:t>
      </w:r>
      <w:r w:rsidR="00C8450F">
        <w:t xml:space="preserve">paid </w:t>
      </w:r>
      <w:r w:rsidR="00C20871">
        <w:t>is lower than the prevailing borrowing rate</w:t>
      </w:r>
      <w:r w:rsidR="00FE0D8B">
        <w:t xml:space="preserve"> and when in a lending position, the interest rate earned is higher than the prevailing short-term saving rate</w:t>
      </w:r>
      <w:r w:rsidR="00441817">
        <w:t xml:space="preserve">.  </w:t>
      </w:r>
      <w:r w:rsidR="00C20871">
        <w:t xml:space="preserve">Below is a graph showing the intercompany loan balance for Questar Gas for the calendar year 2013.  </w:t>
      </w:r>
      <w:r w:rsidR="003F1490">
        <w:t xml:space="preserve">The graph shows a similar pattern of advances and repayments </w:t>
      </w:r>
      <w:r w:rsidR="00C8450F">
        <w:t>throughout the year with a significant reduction at the end of 2013</w:t>
      </w:r>
      <w:r w:rsidR="00441817">
        <w:t xml:space="preserve"> due to the long term financing</w:t>
      </w:r>
      <w:r w:rsidR="00C8450F">
        <w:t xml:space="preserve">.  </w:t>
      </w:r>
      <w:r w:rsidR="00441817">
        <w:t>During 2013, t</w:t>
      </w:r>
      <w:r w:rsidR="00C8450F">
        <w:t xml:space="preserve">he loan balance from Questar Corp to Questar Gas shows an </w:t>
      </w:r>
      <w:r w:rsidR="003F1490">
        <w:t xml:space="preserve">average balance of approximately </w:t>
      </w:r>
      <w:r w:rsidR="003F1490" w:rsidRPr="00441817">
        <w:t>$1</w:t>
      </w:r>
      <w:r w:rsidR="00C8450F" w:rsidRPr="00441817">
        <w:t>5</w:t>
      </w:r>
      <w:r w:rsidR="003F1490" w:rsidRPr="00441817">
        <w:t>0 million with an average interest rate of approximately 0.3</w:t>
      </w:r>
      <w:r w:rsidR="00C8450F" w:rsidRPr="00441817">
        <w:t>2</w:t>
      </w:r>
      <w:r w:rsidR="003F1490" w:rsidRPr="00441817">
        <w:t>%.</w:t>
      </w:r>
      <w:r w:rsidR="003F1490">
        <w:t xml:space="preserve">  </w:t>
      </w:r>
    </w:p>
    <w:p w:rsidR="003F1490" w:rsidRDefault="00441817" w:rsidP="003F1490">
      <w:pPr>
        <w:pStyle w:val="Header"/>
        <w:tabs>
          <w:tab w:val="clear" w:pos="4320"/>
          <w:tab w:val="clear" w:pos="8640"/>
        </w:tabs>
        <w:spacing w:after="240" w:line="360" w:lineRule="auto"/>
      </w:pPr>
      <w:r>
        <w:lastRenderedPageBreak/>
        <w:tab/>
      </w:r>
      <w:r w:rsidR="00AC6256">
        <w:rPr>
          <w:noProof/>
        </w:rPr>
        <w:drawing>
          <wp:inline distT="0" distB="0" distL="0" distR="0">
            <wp:extent cx="4572635" cy="2746375"/>
            <wp:effectExtent l="0" t="0" r="18415" b="15875"/>
            <wp:docPr id="6"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7A6C" w:rsidRDefault="00117A6C" w:rsidP="00117A6C">
      <w:pPr>
        <w:pStyle w:val="Header"/>
        <w:tabs>
          <w:tab w:val="clear" w:pos="4320"/>
          <w:tab w:val="clear" w:pos="8640"/>
        </w:tabs>
        <w:spacing w:after="240" w:line="360" w:lineRule="auto"/>
      </w:pPr>
      <w:r>
        <w:t xml:space="preserve">Questar Gas </w:t>
      </w:r>
      <w:r w:rsidR="003F1490">
        <w:t xml:space="preserve">has </w:t>
      </w:r>
      <w:r w:rsidR="00441817">
        <w:t xml:space="preserve">benefitted by this lending arrangement by </w:t>
      </w:r>
      <w:r w:rsidR="003F1490">
        <w:t>borrow</w:t>
      </w:r>
      <w:r w:rsidR="004B3307">
        <w:t>ing</w:t>
      </w:r>
      <w:r w:rsidR="003F1490">
        <w:t xml:space="preserve"> larger amounts than it has loaned to the Corporation</w:t>
      </w:r>
      <w:r w:rsidR="00FE0D8B">
        <w:t xml:space="preserve">.  </w:t>
      </w:r>
      <w:r w:rsidR="003F1490">
        <w:t xml:space="preserve">It is anticipated that a similar pattern </w:t>
      </w:r>
      <w:r w:rsidR="00441817">
        <w:t xml:space="preserve">of borrowing from the corporation </w:t>
      </w:r>
      <w:r w:rsidR="003F1490">
        <w:t xml:space="preserve">will </w:t>
      </w:r>
      <w:r w:rsidR="001C2AE5">
        <w:t>resume in the 3</w:t>
      </w:r>
      <w:r w:rsidR="001C2AE5" w:rsidRPr="001C2AE5">
        <w:rPr>
          <w:vertAlign w:val="superscript"/>
        </w:rPr>
        <w:t>rd</w:t>
      </w:r>
      <w:r w:rsidR="001C2AE5">
        <w:t xml:space="preserve"> quarter of 2014.  </w:t>
      </w:r>
      <w:r w:rsidR="003F1490">
        <w:t>As mentioned above, t</w:t>
      </w:r>
      <w:r>
        <w:t xml:space="preserve">he current cash position was </w:t>
      </w:r>
      <w:r w:rsidR="003F1490">
        <w:t xml:space="preserve">the result of </w:t>
      </w:r>
      <w:r w:rsidR="009871BF">
        <w:t xml:space="preserve">issuing </w:t>
      </w:r>
      <w:r>
        <w:t xml:space="preserve">long-term 30 and 35 year </w:t>
      </w:r>
      <w:r w:rsidR="009871BF">
        <w:t>debt</w:t>
      </w:r>
      <w:r>
        <w:t xml:space="preserve"> </w:t>
      </w:r>
      <w:r w:rsidR="00441817">
        <w:t xml:space="preserve">at the end of 2013 </w:t>
      </w:r>
      <w:r>
        <w:t xml:space="preserve">at favorable rates.  While this has caused excess cash for a few months, the </w:t>
      </w:r>
      <w:r w:rsidR="009871BF">
        <w:t xml:space="preserve">favorable </w:t>
      </w:r>
      <w:r>
        <w:t xml:space="preserve">long term </w:t>
      </w:r>
      <w:r w:rsidR="001C2AE5">
        <w:t xml:space="preserve">interest </w:t>
      </w:r>
      <w:r>
        <w:t xml:space="preserve">rates </w:t>
      </w:r>
      <w:r w:rsidR="001C2AE5">
        <w:t xml:space="preserve">on the new debt </w:t>
      </w:r>
      <w:r>
        <w:t xml:space="preserve">will be a benefit to ratepayers </w:t>
      </w:r>
      <w:r w:rsidR="003F1490">
        <w:t>in future</w:t>
      </w:r>
      <w:r w:rsidR="00441817">
        <w:t xml:space="preserve"> years in the form of lower interest expense</w:t>
      </w:r>
      <w:r w:rsidR="003F1490">
        <w:t xml:space="preserve">.  </w:t>
      </w:r>
      <w:r>
        <w:t xml:space="preserve">   </w:t>
      </w:r>
    </w:p>
    <w:p w:rsidR="006A714D" w:rsidRDefault="006A714D" w:rsidP="00871E9B">
      <w:pPr>
        <w:pStyle w:val="Header"/>
        <w:tabs>
          <w:tab w:val="clear" w:pos="4320"/>
          <w:tab w:val="clear" w:pos="8640"/>
        </w:tabs>
        <w:spacing w:line="360" w:lineRule="auto"/>
      </w:pPr>
      <w:r>
        <w:rPr>
          <w:b/>
        </w:rPr>
        <w:t>CONCLUSION</w:t>
      </w:r>
    </w:p>
    <w:p w:rsidR="006D15DB" w:rsidRDefault="005176AE" w:rsidP="006D15DB">
      <w:pPr>
        <w:pStyle w:val="Header"/>
        <w:tabs>
          <w:tab w:val="clear" w:pos="4320"/>
          <w:tab w:val="clear" w:pos="8640"/>
        </w:tabs>
        <w:spacing w:after="240" w:line="360" w:lineRule="auto"/>
      </w:pPr>
      <w:r>
        <w:t xml:space="preserve">The Division </w:t>
      </w:r>
      <w:r w:rsidR="00037184">
        <w:t xml:space="preserve">has reviewed the information filed in this Docket and finds that Questar Gas is </w:t>
      </w:r>
      <w:r w:rsidR="004B3307">
        <w:t xml:space="preserve">generally </w:t>
      </w:r>
      <w:r w:rsidR="00037184">
        <w:t xml:space="preserve">in compliance with the guidelines identified in Docket No. 85-057-09.  </w:t>
      </w:r>
      <w:r w:rsidR="00A46BF8">
        <w:t xml:space="preserve">Due to the amount of time that has elapsed since </w:t>
      </w:r>
      <w:r w:rsidR="001C2AE5">
        <w:t xml:space="preserve">intercompany lending </w:t>
      </w:r>
      <w:r w:rsidR="00A46BF8">
        <w:t xml:space="preserve">has been reviewed and </w:t>
      </w:r>
      <w:r w:rsidR="001C2AE5">
        <w:t xml:space="preserve">with </w:t>
      </w:r>
      <w:r w:rsidR="00A46BF8">
        <w:t xml:space="preserve">the organizational changes that have occurred within Questar Corporation, the Division recommends that the Commission open a new docket to examine and review the current intercompany lending procedures and practices.  </w:t>
      </w:r>
      <w:r w:rsidR="006D15DB">
        <w:t xml:space="preserve">The Division does not have any recommendations to change the current intercompany lending program and concludes that ratepayers are not harmed under the current structure.  </w:t>
      </w:r>
      <w:r w:rsidR="009E1124">
        <w:t xml:space="preserve">The recommended review before the Commission is intended to provide an </w:t>
      </w:r>
      <w:r w:rsidR="009E1124">
        <w:lastRenderedPageBreak/>
        <w:t xml:space="preserve">update </w:t>
      </w:r>
      <w:r w:rsidR="007B1050">
        <w:t xml:space="preserve">to the current approval </w:t>
      </w:r>
      <w:r w:rsidR="009E1124">
        <w:t xml:space="preserve">which will better reflect the current lending practices and the use of a revolving note </w:t>
      </w:r>
      <w:r w:rsidR="007B1050">
        <w:t>for</w:t>
      </w:r>
      <w:r w:rsidR="009E1124">
        <w:t xml:space="preserve"> short-term lending to Questar Corporation.  </w:t>
      </w:r>
      <w:r w:rsidR="00B515B2">
        <w:t xml:space="preserve">   </w:t>
      </w:r>
    </w:p>
    <w:p w:rsidR="002F1906" w:rsidRDefault="002F1906" w:rsidP="002F1906">
      <w:pPr>
        <w:pStyle w:val="Header"/>
        <w:tabs>
          <w:tab w:val="clear" w:pos="4320"/>
          <w:tab w:val="clear" w:pos="8640"/>
        </w:tabs>
        <w:spacing w:after="240" w:line="360" w:lineRule="auto"/>
      </w:pPr>
    </w:p>
    <w:p w:rsidR="006D4933" w:rsidRDefault="006D4933" w:rsidP="00B54AA1">
      <w:pPr>
        <w:pStyle w:val="Header"/>
        <w:tabs>
          <w:tab w:val="clear" w:pos="4320"/>
          <w:tab w:val="clear" w:pos="8640"/>
        </w:tabs>
        <w:spacing w:line="360" w:lineRule="auto"/>
        <w:jc w:val="both"/>
      </w:pPr>
    </w:p>
    <w:p w:rsidR="00A16FB8" w:rsidRDefault="00A16FB8" w:rsidP="00B54AA1">
      <w:pPr>
        <w:pStyle w:val="Header"/>
        <w:tabs>
          <w:tab w:val="clear" w:pos="4320"/>
          <w:tab w:val="clear" w:pos="8640"/>
        </w:tabs>
        <w:spacing w:line="360" w:lineRule="auto"/>
        <w:jc w:val="both"/>
      </w:pPr>
    </w:p>
    <w:p w:rsidR="00A16FB8" w:rsidRDefault="00A16FB8" w:rsidP="00B54AA1">
      <w:pPr>
        <w:pStyle w:val="Header"/>
        <w:tabs>
          <w:tab w:val="clear" w:pos="4320"/>
          <w:tab w:val="clear" w:pos="8640"/>
        </w:tabs>
        <w:spacing w:line="360" w:lineRule="auto"/>
        <w:jc w:val="both"/>
      </w:pPr>
      <w:r>
        <w:t>cc:</w:t>
      </w:r>
      <w:r>
        <w:tab/>
        <w:t>Barr</w:t>
      </w:r>
      <w:r w:rsidR="00E827E2">
        <w:t>ie</w:t>
      </w:r>
      <w:r>
        <w:t xml:space="preserve"> McKay – Questar Gas</w:t>
      </w:r>
    </w:p>
    <w:p w:rsidR="00A16FB8" w:rsidRDefault="00A16FB8" w:rsidP="00B54AA1">
      <w:pPr>
        <w:pStyle w:val="Header"/>
        <w:tabs>
          <w:tab w:val="clear" w:pos="4320"/>
          <w:tab w:val="clear" w:pos="8640"/>
        </w:tabs>
        <w:spacing w:line="360" w:lineRule="auto"/>
        <w:jc w:val="both"/>
      </w:pPr>
      <w:r>
        <w:tab/>
        <w:t>Michele Beck – Office of Consumer Services</w:t>
      </w:r>
    </w:p>
    <w:sectPr w:rsidR="00A16FB8" w:rsidSect="002D7C8A">
      <w:headerReference w:type="default" r:id="rId12"/>
      <w:footerReference w:type="default" r:id="rId13"/>
      <w:type w:val="continuous"/>
      <w:pgSz w:w="12240" w:h="15840" w:code="1"/>
      <w:pgMar w:top="2160" w:right="1440" w:bottom="1440" w:left="1440" w:header="36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D8" w:rsidRDefault="00AE58D8">
      <w:r>
        <w:separator/>
      </w:r>
    </w:p>
  </w:endnote>
  <w:endnote w:type="continuationSeparator" w:id="0">
    <w:p w:rsidR="00AE58D8" w:rsidRDefault="00AE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D8" w:rsidRDefault="00AC6256">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-396240</wp:posOffset>
              </wp:positionV>
              <wp:extent cx="5486400" cy="542925"/>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8D8" w:rsidRDefault="00AE58D8" w:rsidP="00F85C15">
                          <w:pPr>
                            <w:spacing w:after="120"/>
                            <w:jc w:val="center"/>
                            <w:rPr>
                              <w:rFonts w:ascii="Times" w:hAnsi="Times"/>
                              <w:color w:val="0000FF"/>
                              <w:sz w:val="16"/>
                            </w:rPr>
                          </w:pPr>
                        </w:p>
                        <w:p w:rsidR="00AE58D8" w:rsidRPr="00F85C15" w:rsidRDefault="00AE58D8" w:rsidP="00F85C15">
                          <w:pPr>
                            <w:spacing w:after="120"/>
                            <w:jc w:val="center"/>
                            <w:rPr>
                              <w:rFonts w:ascii="Times" w:hAnsi="Times"/>
                              <w:color w:val="0000FF"/>
                              <w:sz w:val="16"/>
                            </w:rPr>
                          </w:pPr>
                          <w:r w:rsidRPr="0030196C">
                            <w:rPr>
                              <w:rFonts w:ascii="Times" w:hAnsi="Times"/>
                              <w:color w:val="0000FF"/>
                              <w:sz w:val="16"/>
                            </w:rPr>
                            <w:t xml:space="preserve">160 East 300 South, </w:t>
                          </w:r>
                          <w:smartTag w:uri="urn:schemas-microsoft-com:office:smarttags" w:element="address">
                            <w:smartTag w:uri="urn:schemas-microsoft-com:office:smarttags" w:element="Street">
                              <w:r w:rsidRPr="0030196C">
                                <w:rPr>
                                  <w:rFonts w:ascii="Times" w:hAnsi="Times"/>
                                  <w:color w:val="0000FF"/>
                                  <w:sz w:val="16"/>
                                </w:rPr>
                                <w:t>Box 146751</w:t>
                              </w:r>
                            </w:smartTag>
                            <w:r w:rsidRPr="0030196C">
                              <w:rPr>
                                <w:rFonts w:ascii="Times" w:hAnsi="Times"/>
                                <w:color w:val="0000FF"/>
                                <w:sz w:val="16"/>
                              </w:rPr>
                              <w:t xml:space="preserve">, </w:t>
                            </w:r>
                            <w:smartTag w:uri="urn:schemas-microsoft-com:office:smarttags" w:element="City">
                              <w:r w:rsidRPr="0030196C">
                                <w:rPr>
                                  <w:rFonts w:ascii="Times" w:hAnsi="Times"/>
                                  <w:color w:val="0000FF"/>
                                  <w:sz w:val="16"/>
                                </w:rPr>
                                <w:t>Salt Lake City</w:t>
                              </w:r>
                            </w:smartTag>
                            <w:r w:rsidRPr="0030196C">
                              <w:rPr>
                                <w:rFonts w:ascii="Times" w:hAnsi="Times"/>
                                <w:color w:val="0000FF"/>
                                <w:sz w:val="16"/>
                              </w:rPr>
                              <w:t xml:space="preserve">, </w:t>
                            </w:r>
                            <w:smartTag w:uri="urn:schemas-microsoft-com:office:smarttags" w:element="State">
                              <w:r w:rsidRPr="0030196C">
                                <w:rPr>
                                  <w:rFonts w:ascii="Times" w:hAnsi="Times"/>
                                  <w:color w:val="0000FF"/>
                                  <w:sz w:val="16"/>
                                </w:rPr>
                                <w:t>UT</w:t>
                              </w:r>
                            </w:smartTag>
                            <w:r w:rsidRPr="0030196C">
                              <w:rPr>
                                <w:rFonts w:ascii="Times" w:hAnsi="Times"/>
                                <w:color w:val="0000FF"/>
                                <w:sz w:val="16"/>
                              </w:rPr>
                              <w:t xml:space="preserve"> </w:t>
                            </w:r>
                            <w:smartTag w:uri="urn:schemas-microsoft-com:office:smarttags" w:element="PostalCode">
                              <w:r w:rsidRPr="0030196C">
                                <w:rPr>
                                  <w:rFonts w:ascii="Times" w:hAnsi="Times"/>
                                  <w:color w:val="0000FF"/>
                                  <w:sz w:val="16"/>
                                </w:rPr>
                                <w:t>84114-6751</w:t>
                              </w:r>
                            </w:smartTag>
                          </w:smartTag>
                          <w:r>
                            <w:rPr>
                              <w:rFonts w:ascii="Times" w:hAnsi="Times"/>
                              <w:color w:val="0000FF"/>
                              <w:sz w:val="16"/>
                            </w:rPr>
                            <w:t xml:space="preserve"> </w:t>
                          </w:r>
                          <w:r w:rsidRPr="0030196C">
                            <w:rPr>
                              <w:rFonts w:ascii="Times" w:hAnsi="Times"/>
                              <w:color w:val="0000FF"/>
                              <w:sz w:val="16"/>
                            </w:rPr>
                            <w:t>Telephone (801) 530-7622 • Facsimile (801) 530-6512</w:t>
                          </w:r>
                          <w:r>
                            <w:rPr>
                              <w:rFonts w:ascii="Times" w:hAnsi="Times"/>
                              <w:color w:val="0000FF"/>
                              <w:sz w:val="16"/>
                            </w:rPr>
                            <w:t xml:space="preserve"> </w:t>
                          </w:r>
                          <w:r w:rsidRPr="0030196C">
                            <w:rPr>
                              <w:rFonts w:ascii="Times" w:hAnsi="Times"/>
                              <w:color w:val="0000FF"/>
                              <w:sz w:val="16"/>
                            </w:rPr>
                            <w:t>•</w:t>
                          </w:r>
                          <w:r>
                            <w:rPr>
                              <w:rFonts w:ascii="Times" w:hAnsi="Times"/>
                              <w:color w:val="0000FF"/>
                              <w:sz w:val="16"/>
                            </w:rPr>
                            <w:t xml:space="preserve"> </w:t>
                          </w:r>
                          <w:r w:rsidRPr="004206D3">
                            <w:rPr>
                              <w:rFonts w:ascii="Times" w:hAnsi="Times"/>
                              <w:i/>
                              <w:color w:val="0000FF"/>
                              <w:sz w:val="16"/>
                            </w:rPr>
                            <w:t>www.publicutilities.utah.gov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17pt;margin-top:-31.2pt;width:6in;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l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" stroked="f">
              <v:textbox>
                <w:txbxContent>
                  <w:p w:rsidR="00AE58D8" w:rsidRDefault="00AE58D8" w:rsidP="00F85C15">
                    <w:pPr>
                      <w:spacing w:after="120"/>
                      <w:jc w:val="center"/>
                      <w:rPr>
                        <w:rFonts w:ascii="Times" w:hAnsi="Times"/>
                        <w:color w:val="0000FF"/>
                        <w:sz w:val="16"/>
                      </w:rPr>
                    </w:pPr>
                  </w:p>
                  <w:p w:rsidR="00AE58D8" w:rsidRPr="00F85C15" w:rsidRDefault="00AE58D8" w:rsidP="00F85C15">
                    <w:pPr>
                      <w:spacing w:after="120"/>
                      <w:jc w:val="center"/>
                      <w:rPr>
                        <w:rFonts w:ascii="Times" w:hAnsi="Times"/>
                        <w:color w:val="0000FF"/>
                        <w:sz w:val="16"/>
                      </w:rPr>
                    </w:pPr>
                    <w:r w:rsidRPr="0030196C">
                      <w:rPr>
                        <w:rFonts w:ascii="Times" w:hAnsi="Times"/>
                        <w:color w:val="0000FF"/>
                        <w:sz w:val="16"/>
                      </w:rPr>
                      <w:t xml:space="preserve">160 East 300 South, </w:t>
                    </w:r>
                    <w:smartTag w:uri="urn:schemas-microsoft-com:office:smarttags" w:element="address">
                      <w:smartTag w:uri="urn:schemas-microsoft-com:office:smarttags" w:element="Street">
                        <w:r w:rsidRPr="0030196C">
                          <w:rPr>
                            <w:rFonts w:ascii="Times" w:hAnsi="Times"/>
                            <w:color w:val="0000FF"/>
                            <w:sz w:val="16"/>
                          </w:rPr>
                          <w:t>Box 146751</w:t>
                        </w:r>
                      </w:smartTag>
                      <w:r w:rsidRPr="0030196C">
                        <w:rPr>
                          <w:rFonts w:ascii="Times" w:hAnsi="Times"/>
                          <w:color w:val="0000FF"/>
                          <w:sz w:val="16"/>
                        </w:rPr>
                        <w:t xml:space="preserve">, </w:t>
                      </w:r>
                      <w:smartTag w:uri="urn:schemas-microsoft-com:office:smarttags" w:element="City">
                        <w:r w:rsidRPr="0030196C">
                          <w:rPr>
                            <w:rFonts w:ascii="Times" w:hAnsi="Times"/>
                            <w:color w:val="0000FF"/>
                            <w:sz w:val="16"/>
                          </w:rPr>
                          <w:t>Salt Lake City</w:t>
                        </w:r>
                      </w:smartTag>
                      <w:r w:rsidRPr="0030196C">
                        <w:rPr>
                          <w:rFonts w:ascii="Times" w:hAnsi="Times"/>
                          <w:color w:val="0000FF"/>
                          <w:sz w:val="16"/>
                        </w:rPr>
                        <w:t xml:space="preserve">, </w:t>
                      </w:r>
                      <w:smartTag w:uri="urn:schemas-microsoft-com:office:smarttags" w:element="State">
                        <w:r w:rsidRPr="0030196C">
                          <w:rPr>
                            <w:rFonts w:ascii="Times" w:hAnsi="Times"/>
                            <w:color w:val="0000FF"/>
                            <w:sz w:val="16"/>
                          </w:rPr>
                          <w:t>UT</w:t>
                        </w:r>
                      </w:smartTag>
                      <w:r w:rsidRPr="0030196C">
                        <w:rPr>
                          <w:rFonts w:ascii="Times" w:hAnsi="Times"/>
                          <w:color w:val="0000FF"/>
                          <w:sz w:val="16"/>
                        </w:rPr>
                        <w:t xml:space="preserve"> </w:t>
                      </w:r>
                      <w:smartTag w:uri="urn:schemas-microsoft-com:office:smarttags" w:element="PostalCode">
                        <w:r w:rsidRPr="0030196C">
                          <w:rPr>
                            <w:rFonts w:ascii="Times" w:hAnsi="Times"/>
                            <w:color w:val="0000FF"/>
                            <w:sz w:val="16"/>
                          </w:rPr>
                          <w:t>84114-6751</w:t>
                        </w:r>
                      </w:smartTag>
                    </w:smartTag>
                    <w:r>
                      <w:rPr>
                        <w:rFonts w:ascii="Times" w:hAnsi="Times"/>
                        <w:color w:val="0000FF"/>
                        <w:sz w:val="16"/>
                      </w:rPr>
                      <w:t xml:space="preserve"> </w:t>
                    </w:r>
                    <w:r w:rsidRPr="0030196C">
                      <w:rPr>
                        <w:rFonts w:ascii="Times" w:hAnsi="Times"/>
                        <w:color w:val="0000FF"/>
                        <w:sz w:val="16"/>
                      </w:rPr>
                      <w:t>Telephone (801) 530-7622 • Facsimile (801) 530-6512</w:t>
                    </w:r>
                    <w:r>
                      <w:rPr>
                        <w:rFonts w:ascii="Times" w:hAnsi="Times"/>
                        <w:color w:val="0000FF"/>
                        <w:sz w:val="16"/>
                      </w:rPr>
                      <w:t xml:space="preserve"> </w:t>
                    </w:r>
                    <w:r w:rsidRPr="0030196C">
                      <w:rPr>
                        <w:rFonts w:ascii="Times" w:hAnsi="Times"/>
                        <w:color w:val="0000FF"/>
                        <w:sz w:val="16"/>
                      </w:rPr>
                      <w:t>•</w:t>
                    </w:r>
                    <w:r>
                      <w:rPr>
                        <w:rFonts w:ascii="Times" w:hAnsi="Times"/>
                        <w:color w:val="0000FF"/>
                        <w:sz w:val="16"/>
                      </w:rPr>
                      <w:t xml:space="preserve"> </w:t>
                    </w:r>
                    <w:r w:rsidRPr="004206D3">
                      <w:rPr>
                        <w:rFonts w:ascii="Times" w:hAnsi="Times"/>
                        <w:i/>
                        <w:color w:val="0000FF"/>
                        <w:sz w:val="16"/>
                      </w:rPr>
                      <w:t>www.publicutilities.utah.gov</w:t>
                    </w:r>
                  </w:p>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4114800</wp:posOffset>
          </wp:positionH>
          <wp:positionV relativeFrom="paragraph">
            <wp:posOffset>-281940</wp:posOffset>
          </wp:positionV>
          <wp:extent cx="1257300" cy="4178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17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120" w:type="dxa"/>
        <w:right w:w="120" w:type="dxa"/>
      </w:tblCellMar>
      <w:tblLook w:val="0000" w:firstRow="0" w:lastRow="0" w:firstColumn="0" w:lastColumn="0" w:noHBand="0" w:noVBand="0"/>
    </w:tblPr>
    <w:tblGrid>
      <w:gridCol w:w="9899"/>
      <w:gridCol w:w="1619"/>
    </w:tblGrid>
    <w:tr w:rsidR="00AE58D8">
      <w:trPr>
        <w:jc w:val="center"/>
      </w:trPr>
      <w:tc>
        <w:tcPr>
          <w:tcW w:w="9899" w:type="dxa"/>
          <w:vAlign w:val="center"/>
        </w:tcPr>
        <w:p w:rsidR="00AE58D8" w:rsidRDefault="00AE58D8">
          <w:pPr>
            <w:framePr w:w="1" w:h="166" w:hRule="exact" w:wrap="auto" w:vAnchor="page" w:hAnchor="page" w:x="196" w:y="15211"/>
            <w:spacing w:after="58"/>
            <w:rPr>
              <w:sz w:val="16"/>
              <w:szCs w:val="16"/>
            </w:rPr>
          </w:pPr>
        </w:p>
      </w:tc>
      <w:tc>
        <w:tcPr>
          <w:tcW w:w="1619" w:type="dxa"/>
          <w:vAlign w:val="center"/>
        </w:tcPr>
        <w:p w:rsidR="00AE58D8" w:rsidRDefault="00AE58D8">
          <w:pPr>
            <w:framePr w:w="1" w:h="166" w:hRule="exact" w:wrap="auto" w:vAnchor="page" w:hAnchor="page" w:x="196" w:y="15211"/>
            <w:spacing w:line="120" w:lineRule="exact"/>
            <w:rPr>
              <w:sz w:val="16"/>
              <w:szCs w:val="16"/>
            </w:rPr>
          </w:pPr>
        </w:p>
        <w:p w:rsidR="00AE58D8" w:rsidRDefault="00AE58D8">
          <w:pPr>
            <w:framePr w:w="1" w:h="166" w:hRule="exact" w:wrap="auto" w:vAnchor="page" w:hAnchor="page" w:x="196" w:y="15211"/>
            <w:rPr>
              <w:sz w:val="30"/>
              <w:szCs w:val="30"/>
            </w:rPr>
          </w:pPr>
        </w:p>
        <w:p w:rsidR="00AE58D8" w:rsidRDefault="00AE58D8">
          <w:pPr>
            <w:framePr w:w="1" w:h="166" w:hRule="exact" w:wrap="auto" w:vAnchor="page" w:hAnchor="page" w:x="196" w:y="15211"/>
            <w:spacing w:after="58"/>
            <w:jc w:val="right"/>
            <w:rPr>
              <w:sz w:val="16"/>
              <w:szCs w:val="16"/>
            </w:rPr>
          </w:pPr>
        </w:p>
      </w:tc>
    </w:tr>
  </w:tbl>
  <w:p w:rsidR="00AE58D8" w:rsidRDefault="00AE58D8">
    <w:pPr>
      <w:framePr w:w="1" w:h="166" w:hRule="exact" w:wrap="auto" w:vAnchor="page" w:hAnchor="page" w:x="196" w:y="15211"/>
      <w:rPr>
        <w:sz w:val="16"/>
        <w:szCs w:val="16"/>
      </w:rPr>
    </w:pPr>
  </w:p>
  <w:p w:rsidR="00AE58D8" w:rsidRDefault="00AE58D8">
    <w:pPr>
      <w:framePr w:w="1" w:h="166" w:hRule="exact" w:wrap="auto" w:vAnchor="page" w:hAnchor="page" w:x="196" w:y="15211"/>
      <w:rPr>
        <w:sz w:val="16"/>
        <w:szCs w:val="16"/>
      </w:rPr>
    </w:pPr>
  </w:p>
  <w:p w:rsidR="00AE58D8" w:rsidRDefault="00AE58D8">
    <w:pPr>
      <w:pStyle w:val="Footer"/>
    </w:pPr>
    <w:r>
      <w:tab/>
      <w:t xml:space="preserve">- </w:t>
    </w:r>
    <w:r w:rsidR="00AC6256">
      <w:fldChar w:fldCharType="begin"/>
    </w:r>
    <w:r w:rsidR="00AC6256">
      <w:instrText xml:space="preserve"> PAGE </w:instrText>
    </w:r>
    <w:r w:rsidR="00AC6256">
      <w:fldChar w:fldCharType="separate"/>
    </w:r>
    <w:r w:rsidR="00487363">
      <w:rPr>
        <w:noProof/>
      </w:rPr>
      <w:t>8</w:t>
    </w:r>
    <w:r w:rsidR="00AC625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D8" w:rsidRDefault="00AE58D8">
      <w:r>
        <w:separator/>
      </w:r>
    </w:p>
  </w:footnote>
  <w:footnote w:type="continuationSeparator" w:id="0">
    <w:p w:rsidR="00AE58D8" w:rsidRDefault="00AE58D8">
      <w:r>
        <w:continuationSeparator/>
      </w:r>
    </w:p>
  </w:footnote>
  <w:footnote w:id="1">
    <w:p w:rsidR="00AE58D8" w:rsidRDefault="00AE58D8" w:rsidP="0060076B">
      <w:pPr>
        <w:pStyle w:val="FootnoteText"/>
      </w:pPr>
      <w:r>
        <w:rPr>
          <w:rStyle w:val="FootnoteReference"/>
        </w:rPr>
        <w:footnoteRef/>
      </w:r>
      <w:r>
        <w:t xml:space="preserve"> Questar Corporation, Form 10-K Annual Report, December 31, 2013, p. 77.</w:t>
      </w:r>
    </w:p>
  </w:footnote>
  <w:footnote w:id="2">
    <w:p w:rsidR="00AE58D8" w:rsidRDefault="00AE58D8">
      <w:pPr>
        <w:pStyle w:val="FootnoteText"/>
      </w:pPr>
      <w:r>
        <w:rPr>
          <w:rStyle w:val="FootnoteReference"/>
        </w:rPr>
        <w:footnoteRef/>
      </w:r>
      <w:r>
        <w:t xml:space="preserve"> Docket No. 85-057-09,  Report and Order, October 11, 1985, p. 6</w:t>
      </w:r>
    </w:p>
  </w:footnote>
  <w:footnote w:id="3">
    <w:p w:rsidR="00AE58D8" w:rsidRDefault="00AE58D8" w:rsidP="00C06F54">
      <w:pPr>
        <w:pStyle w:val="FootnoteText"/>
      </w:pPr>
      <w:r>
        <w:rPr>
          <w:rStyle w:val="FootnoteReference"/>
        </w:rPr>
        <w:footnoteRef/>
      </w:r>
      <w:r>
        <w:t xml:space="preserve"> Docket No. 85-057-09,  Report and Order, October 11, 1985, p. 7</w:t>
      </w:r>
    </w:p>
    <w:p w:rsidR="00AE58D8" w:rsidRDefault="00AE58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D8" w:rsidRDefault="00AE58D8"/>
  <w:p w:rsidR="00AE58D8" w:rsidRDefault="00AE58D8"/>
  <w:p w:rsidR="00AE58D8" w:rsidRDefault="00AC6256">
    <w:r>
      <w:rPr>
        <w:noProof/>
        <w:sz w:val="20"/>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-114300</wp:posOffset>
              </wp:positionV>
              <wp:extent cx="6629400" cy="2143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60" w:type="dxa"/>
                            <w:tblInd w:w="120" w:type="dxa"/>
                            <w:tblLayout w:type="fixed"/>
                            <w:tblCellMar>
                              <w:left w:w="120" w:type="dxa"/>
                              <w:right w:w="120" w:type="dxa"/>
                            </w:tblCellMar>
                            <w:tblLook w:val="0000" w:firstRow="0" w:lastRow="0" w:firstColumn="0" w:lastColumn="0" w:noHBand="0" w:noVBand="0"/>
                          </w:tblPr>
                          <w:tblGrid>
                            <w:gridCol w:w="2160"/>
                            <w:gridCol w:w="8007"/>
                            <w:gridCol w:w="93"/>
                          </w:tblGrid>
                          <w:tr w:rsidR="00AE58D8">
                            <w:trPr>
                              <w:trHeight w:hRule="exact" w:val="1890"/>
                            </w:trPr>
                            <w:tc>
                              <w:tcPr>
                                <w:tcW w:w="2160" w:type="dxa"/>
                                <w:tcBorders>
                                  <w:right w:val="single" w:sz="18" w:space="0" w:color="000080"/>
                                </w:tcBorders>
                              </w:tcPr>
                              <w:p w:rsidR="00AE58D8" w:rsidRDefault="00AE58D8">
                                <w:pPr>
                                  <w:spacing w:line="120" w:lineRule="exact"/>
                                </w:pPr>
                              </w:p>
                              <w:p w:rsidR="00AE58D8" w:rsidRDefault="00AE58D8">
                                <w:pPr>
                                  <w:pBdr>
                                    <w:top w:val="single" w:sz="6" w:space="0" w:color="FFFFFF"/>
                                    <w:left w:val="single" w:sz="6" w:space="0" w:color="FFFFFF"/>
                                    <w:bottom w:val="single" w:sz="6" w:space="0" w:color="FFFFFF"/>
                                    <w:right w:val="single" w:sz="6" w:space="0" w:color="FFFFFF"/>
                                  </w:pBdr>
                                  <w:rPr>
                                    <w:sz w:val="30"/>
                                    <w:szCs w:val="30"/>
                                  </w:rPr>
                                </w:pPr>
                              </w:p>
                              <w:p w:rsidR="00AE58D8" w:rsidRDefault="00AE58D8">
                                <w:pPr>
                                  <w:spacing w:after="58"/>
                                  <w:rPr>
                                    <w:sz w:val="30"/>
                                    <w:szCs w:val="30"/>
                                  </w:rPr>
                                </w:pPr>
                              </w:p>
                            </w:tc>
                            <w:tc>
                              <w:tcPr>
                                <w:tcW w:w="8100" w:type="dxa"/>
                                <w:gridSpan w:val="2"/>
                                <w:tcBorders>
                                  <w:left w:val="single" w:sz="18" w:space="0" w:color="000080"/>
                                </w:tcBorders>
                              </w:tcPr>
                              <w:p w:rsidR="00AE58D8" w:rsidRDefault="00AE58D8">
                                <w:pPr>
                                  <w:spacing w:line="120" w:lineRule="exact"/>
                                  <w:rPr>
                                    <w:sz w:val="30"/>
                                    <w:szCs w:val="30"/>
                                  </w:rPr>
                                </w:pPr>
                              </w:p>
                              <w:p w:rsidR="00AE58D8" w:rsidRDefault="00AE58D8">
                                <w:pPr>
                                  <w:rPr>
                                    <w:rFonts w:ascii="Times" w:hAnsi="Times"/>
                                    <w:sz w:val="36"/>
                                  </w:rPr>
                                </w:pPr>
                                <w:r>
                                  <w:rPr>
                                    <w:rFonts w:ascii="Times" w:hAnsi="Times"/>
                                    <w:sz w:val="36"/>
                                  </w:rPr>
                                  <w:t xml:space="preserve">State of </w:t>
                                </w:r>
                                <w:smartTag w:uri="urn:schemas-microsoft-com:office:smarttags" w:element="place">
                                  <w:smartTag w:uri="urn:schemas-microsoft-com:office:smarttags" w:element="State">
                                    <w:r>
                                      <w:rPr>
                                        <w:rFonts w:ascii="Times" w:hAnsi="Times"/>
                                        <w:sz w:val="36"/>
                                      </w:rPr>
                                      <w:t>Utah</w:t>
                                    </w:r>
                                  </w:smartTag>
                                </w:smartTag>
                                <w:r>
                                  <w:rPr>
                                    <w:rFonts w:ascii="Times" w:hAnsi="Times"/>
                                    <w:sz w:val="36"/>
                                  </w:rPr>
                                  <w:t xml:space="preserve"> </w:t>
                                </w:r>
                              </w:p>
                              <w:p w:rsidR="00AE58D8" w:rsidRDefault="00AE58D8">
                                <w:pPr>
                                  <w:pStyle w:val="Heading9"/>
                                  <w:jc w:val="both"/>
                                  <w:rPr>
                                    <w:sz w:val="36"/>
                                  </w:rPr>
                                </w:pPr>
                                <w:r>
                                  <w:rPr>
                                    <w:sz w:val="36"/>
                                  </w:rPr>
                                  <w:t>Department of Commerce</w:t>
                                </w:r>
                              </w:p>
                              <w:p w:rsidR="00AE58D8" w:rsidRDefault="00AE58D8">
                                <w:pPr>
                                  <w:pStyle w:val="Heading2"/>
                                </w:pPr>
                                <w:r>
                                  <w:t>Division of Public Utilities</w:t>
                                </w:r>
                              </w:p>
                              <w:p w:rsidR="00AE58D8" w:rsidRDefault="00AE58D8">
                                <w:pPr>
                                  <w:rPr>
                                    <w:rFonts w:ascii="Times" w:hAnsi="Times"/>
                                    <w:sz w:val="16"/>
                                  </w:rPr>
                                </w:pPr>
                              </w:p>
                              <w:p w:rsidR="00AE58D8" w:rsidRDefault="00AE58D8">
                                <w:pPr>
                                  <w:rPr>
                                    <w:rFonts w:ascii="Times" w:hAnsi="Times"/>
                                    <w:sz w:val="16"/>
                                  </w:rPr>
                                </w:pPr>
                                <w:r>
                                  <w:rPr>
                                    <w:rFonts w:ascii="Times" w:hAnsi="Times"/>
                                    <w:sz w:val="16"/>
                                  </w:rPr>
                                  <w:t>FRANCINE GIANI</w:t>
                                </w:r>
                                <w:r>
                                  <w:rPr>
                                    <w:rFonts w:ascii="Times" w:hAnsi="Times"/>
                                    <w:sz w:val="16"/>
                                  </w:rPr>
                                  <w:tab/>
                                  <w:t xml:space="preserve">                  THOMAS BRADY                 CHRIS PARKER</w:t>
                                </w:r>
                              </w:p>
                              <w:p w:rsidR="00AE58D8" w:rsidRDefault="00AE58D8">
                                <w:pPr>
                                  <w:rPr>
                                    <w:i/>
                                    <w:sz w:val="16"/>
                                  </w:rPr>
                                </w:pPr>
                                <w:r w:rsidRPr="000D797F">
                                  <w:rPr>
                                    <w:i/>
                                    <w:sz w:val="16"/>
                                  </w:rPr>
                                  <w:t>Executive Director</w:t>
                                </w:r>
                                <w:r w:rsidRPr="000D797F">
                                  <w:rPr>
                                    <w:i/>
                                    <w:sz w:val="16"/>
                                  </w:rPr>
                                  <w:tab/>
                                </w:r>
                                <w:r w:rsidRPr="000D797F">
                                  <w:rPr>
                                    <w:i/>
                                    <w:sz w:val="16"/>
                                  </w:rPr>
                                  <w:tab/>
                                  <w:t>Deputy Director</w:t>
                                </w:r>
                                <w:r w:rsidRPr="000D797F">
                                  <w:rPr>
                                    <w:i/>
                                    <w:sz w:val="16"/>
                                  </w:rPr>
                                  <w:tab/>
                                </w:r>
                                <w:r>
                                  <w:rPr>
                                    <w:i/>
                                    <w:sz w:val="16"/>
                                  </w:rPr>
                                  <w:t xml:space="preserve">            </w:t>
                                </w:r>
                                <w:r w:rsidRPr="000D797F">
                                  <w:rPr>
                                    <w:i/>
                                    <w:sz w:val="16"/>
                                  </w:rPr>
                                  <w:t>Director, Division of Public Utilities</w:t>
                                </w:r>
                              </w:p>
                              <w:p w:rsidR="00AE58D8" w:rsidRPr="000D797F" w:rsidRDefault="00AE58D8">
                                <w:pPr>
                                  <w:rPr>
                                    <w:i/>
                                    <w:sz w:val="30"/>
                                    <w:szCs w:val="30"/>
                                  </w:rPr>
                                </w:pPr>
                              </w:p>
                              <w:p w:rsidR="00AE58D8" w:rsidRDefault="00AE58D8">
                                <w:pPr>
                                  <w:pStyle w:val="JobTitle"/>
                                  <w:spacing w:after="58"/>
                                </w:pPr>
                              </w:p>
                              <w:p w:rsidR="00AE58D8" w:rsidRDefault="00AE58D8">
                                <w:pPr>
                                  <w:pStyle w:val="JobTitle"/>
                                  <w:spacing w:after="58"/>
                                </w:pPr>
                              </w:p>
                            </w:tc>
                          </w:tr>
                          <w:tr w:rsidR="00AE58D8">
                            <w:trPr>
                              <w:gridAfter w:val="1"/>
                              <w:wAfter w:w="93" w:type="dxa"/>
                              <w:trHeight w:val="987"/>
                            </w:trPr>
                            <w:tc>
                              <w:tcPr>
                                <w:tcW w:w="2160" w:type="dxa"/>
                                <w:tcBorders>
                                  <w:right w:val="single" w:sz="18" w:space="0" w:color="000080"/>
                                </w:tcBorders>
                              </w:tcPr>
                              <w:p w:rsidR="00AE58D8" w:rsidRDefault="00AE58D8">
                                <w:pPr>
                                  <w:spacing w:line="120" w:lineRule="exact"/>
                                  <w:rPr>
                                    <w:i/>
                                    <w:iCs/>
                                    <w:sz w:val="16"/>
                                    <w:szCs w:val="16"/>
                                  </w:rPr>
                                </w:pPr>
                              </w:p>
                              <w:p w:rsidR="00AE58D8" w:rsidRDefault="00AE58D8">
                                <w:pPr>
                                  <w:pStyle w:val="Name"/>
                                </w:pPr>
                                <w:r>
                                  <w:t>GARY HERBERT</w:t>
                                </w:r>
                              </w:p>
                              <w:p w:rsidR="00AE58D8" w:rsidRDefault="00AE58D8">
                                <w:pPr>
                                  <w:pStyle w:val="Heading1"/>
                                  <w:rPr>
                                    <w:b w:val="0"/>
                                    <w:bCs w:val="0"/>
                                    <w:i/>
                                    <w:iCs/>
                                    <w:sz w:val="16"/>
                                  </w:rPr>
                                </w:pPr>
                                <w:r>
                                  <w:rPr>
                                    <w:b w:val="0"/>
                                    <w:bCs w:val="0"/>
                                    <w:i/>
                                    <w:iCs/>
                                    <w:sz w:val="16"/>
                                  </w:rPr>
                                  <w:t>Governor</w:t>
                                </w:r>
                              </w:p>
                              <w:p w:rsidR="00AE58D8" w:rsidRDefault="00AE58D8">
                                <w:pPr>
                                  <w:jc w:val="center"/>
                                  <w:rPr>
                                    <w:rFonts w:ascii="Times" w:hAnsi="Times"/>
                                    <w:sz w:val="16"/>
                                  </w:rPr>
                                </w:pPr>
                                <w:r>
                                  <w:rPr>
                                    <w:rFonts w:ascii="Times" w:hAnsi="Times"/>
                                    <w:sz w:val="16"/>
                                  </w:rPr>
                                  <w:t>SPENCER J. COX</w:t>
                                </w:r>
                              </w:p>
                              <w:p w:rsidR="00AE58D8" w:rsidRDefault="00AE58D8">
                                <w:pPr>
                                  <w:pStyle w:val="JobTitle"/>
                                  <w:widowControl/>
                                  <w:autoSpaceDE/>
                                  <w:autoSpaceDN/>
                                  <w:adjustRightInd/>
                                  <w:rPr>
                                    <w:szCs w:val="24"/>
                                  </w:rPr>
                                </w:pPr>
                                <w:r>
                                  <w:rPr>
                                    <w:szCs w:val="24"/>
                                  </w:rPr>
                                  <w:t>Lieutenant Governor</w:t>
                                </w:r>
                              </w:p>
                            </w:tc>
                            <w:tc>
                              <w:tcPr>
                                <w:tcW w:w="8007" w:type="dxa"/>
                                <w:tcBorders>
                                  <w:left w:val="single" w:sz="18" w:space="0" w:color="000080"/>
                                </w:tcBorders>
                              </w:tcPr>
                              <w:p w:rsidR="00AE58D8" w:rsidRDefault="00AE58D8">
                                <w:pPr>
                                  <w:spacing w:line="120" w:lineRule="exact"/>
                                  <w:rPr>
                                    <w:sz w:val="30"/>
                                    <w:szCs w:val="30"/>
                                  </w:rPr>
                                </w:pPr>
                              </w:p>
                              <w:p w:rsidR="00AE58D8" w:rsidRDefault="00AE58D8">
                                <w:pPr>
                                  <w:spacing w:after="58"/>
                                  <w:rPr>
                                    <w:sz w:val="30"/>
                                    <w:szCs w:val="30"/>
                                  </w:rPr>
                                </w:pPr>
                              </w:p>
                            </w:tc>
                          </w:tr>
                        </w:tbl>
                        <w:p w:rsidR="00AE58D8" w:rsidRDefault="00AE5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pt;margin-top:-9pt;width:522pt;height:1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gqtA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" filled="f" stroked="f">
              <v:textbox>
                <w:txbxContent>
                  <w:tbl>
                    <w:tblPr>
                      <w:tblW w:w="10260" w:type="dxa"/>
                      <w:tblInd w:w="120" w:type="dxa"/>
                      <w:tblLayout w:type="fixed"/>
                      <w:tblCellMar>
                        <w:left w:w="120" w:type="dxa"/>
                        <w:right w:w="120" w:type="dxa"/>
                      </w:tblCellMar>
                      <w:tblLook w:val="0000" w:firstRow="0" w:lastRow="0" w:firstColumn="0" w:lastColumn="0" w:noHBand="0" w:noVBand="0"/>
                    </w:tblPr>
                    <w:tblGrid>
                      <w:gridCol w:w="2160"/>
                      <w:gridCol w:w="8007"/>
                      <w:gridCol w:w="93"/>
                    </w:tblGrid>
                    <w:tr w:rsidR="00AE58D8">
                      <w:trPr>
                        <w:trHeight w:hRule="exact" w:val="1890"/>
                      </w:trPr>
                      <w:tc>
                        <w:tcPr>
                          <w:tcW w:w="2160" w:type="dxa"/>
                          <w:tcBorders>
                            <w:right w:val="single" w:sz="18" w:space="0" w:color="000080"/>
                          </w:tcBorders>
                        </w:tcPr>
                        <w:p w:rsidR="00AE58D8" w:rsidRDefault="00AE58D8">
                          <w:pPr>
                            <w:spacing w:line="120" w:lineRule="exact"/>
                          </w:pPr>
                        </w:p>
                        <w:p w:rsidR="00AE58D8" w:rsidRDefault="00AE58D8">
                          <w:pPr>
                            <w:pBdr>
                              <w:top w:val="single" w:sz="6" w:space="0" w:color="FFFFFF"/>
                              <w:left w:val="single" w:sz="6" w:space="0" w:color="FFFFFF"/>
                              <w:bottom w:val="single" w:sz="6" w:space="0" w:color="FFFFFF"/>
                              <w:right w:val="single" w:sz="6" w:space="0" w:color="FFFFFF"/>
                            </w:pBdr>
                            <w:rPr>
                              <w:sz w:val="30"/>
                              <w:szCs w:val="30"/>
                            </w:rPr>
                          </w:pPr>
                        </w:p>
                        <w:p w:rsidR="00AE58D8" w:rsidRDefault="00AE58D8">
                          <w:pPr>
                            <w:spacing w:after="58"/>
                            <w:rPr>
                              <w:sz w:val="30"/>
                              <w:szCs w:val="30"/>
                            </w:rPr>
                          </w:pPr>
                        </w:p>
                      </w:tc>
                      <w:tc>
                        <w:tcPr>
                          <w:tcW w:w="8100" w:type="dxa"/>
                          <w:gridSpan w:val="2"/>
                          <w:tcBorders>
                            <w:left w:val="single" w:sz="18" w:space="0" w:color="000080"/>
                          </w:tcBorders>
                        </w:tcPr>
                        <w:p w:rsidR="00AE58D8" w:rsidRDefault="00AE58D8">
                          <w:pPr>
                            <w:spacing w:line="120" w:lineRule="exact"/>
                            <w:rPr>
                              <w:sz w:val="30"/>
                              <w:szCs w:val="30"/>
                            </w:rPr>
                          </w:pPr>
                        </w:p>
                        <w:p w:rsidR="00AE58D8" w:rsidRDefault="00AE58D8">
                          <w:pPr>
                            <w:rPr>
                              <w:rFonts w:ascii="Times" w:hAnsi="Times"/>
                              <w:sz w:val="36"/>
                            </w:rPr>
                          </w:pPr>
                          <w:r>
                            <w:rPr>
                              <w:rFonts w:ascii="Times" w:hAnsi="Times"/>
                              <w:sz w:val="36"/>
                            </w:rPr>
                            <w:t xml:space="preserve">State of </w:t>
                          </w:r>
                          <w:smartTag w:uri="urn:schemas-microsoft-com:office:smarttags" w:element="place">
                            <w:smartTag w:uri="urn:schemas-microsoft-com:office:smarttags" w:element="State">
                              <w:r>
                                <w:rPr>
                                  <w:rFonts w:ascii="Times" w:hAnsi="Times"/>
                                  <w:sz w:val="36"/>
                                </w:rPr>
                                <w:t>Utah</w:t>
                              </w:r>
                            </w:smartTag>
                          </w:smartTag>
                          <w:r>
                            <w:rPr>
                              <w:rFonts w:ascii="Times" w:hAnsi="Times"/>
                              <w:sz w:val="36"/>
                            </w:rPr>
                            <w:t xml:space="preserve"> </w:t>
                          </w:r>
                        </w:p>
                        <w:p w:rsidR="00AE58D8" w:rsidRDefault="00AE58D8">
                          <w:pPr>
                            <w:pStyle w:val="Heading9"/>
                            <w:jc w:val="both"/>
                            <w:rPr>
                              <w:sz w:val="36"/>
                            </w:rPr>
                          </w:pPr>
                          <w:r>
                            <w:rPr>
                              <w:sz w:val="36"/>
                            </w:rPr>
                            <w:t>Department of Commerce</w:t>
                          </w:r>
                        </w:p>
                        <w:p w:rsidR="00AE58D8" w:rsidRDefault="00AE58D8">
                          <w:pPr>
                            <w:pStyle w:val="Heading2"/>
                          </w:pPr>
                          <w:r>
                            <w:t>Division of Public Utilities</w:t>
                          </w:r>
                        </w:p>
                        <w:p w:rsidR="00AE58D8" w:rsidRDefault="00AE58D8">
                          <w:pPr>
                            <w:rPr>
                              <w:rFonts w:ascii="Times" w:hAnsi="Times"/>
                              <w:sz w:val="16"/>
                            </w:rPr>
                          </w:pPr>
                        </w:p>
                        <w:p w:rsidR="00AE58D8" w:rsidRDefault="00AE58D8">
                          <w:pPr>
                            <w:rPr>
                              <w:rFonts w:ascii="Times" w:hAnsi="Times"/>
                              <w:sz w:val="16"/>
                            </w:rPr>
                          </w:pPr>
                          <w:r>
                            <w:rPr>
                              <w:rFonts w:ascii="Times" w:hAnsi="Times"/>
                              <w:sz w:val="16"/>
                            </w:rPr>
                            <w:t>FRANCINE GIANI</w:t>
                          </w:r>
                          <w:r>
                            <w:rPr>
                              <w:rFonts w:ascii="Times" w:hAnsi="Times"/>
                              <w:sz w:val="16"/>
                            </w:rPr>
                            <w:tab/>
                            <w:t xml:space="preserve">                  THOMAS BRADY                 CHRIS PARKER</w:t>
                          </w:r>
                        </w:p>
                        <w:p w:rsidR="00AE58D8" w:rsidRDefault="00AE58D8">
                          <w:pPr>
                            <w:rPr>
                              <w:i/>
                              <w:sz w:val="16"/>
                            </w:rPr>
                          </w:pPr>
                          <w:r w:rsidRPr="000D797F">
                            <w:rPr>
                              <w:i/>
                              <w:sz w:val="16"/>
                            </w:rPr>
                            <w:t>Executive Director</w:t>
                          </w:r>
                          <w:r w:rsidRPr="000D797F">
                            <w:rPr>
                              <w:i/>
                              <w:sz w:val="16"/>
                            </w:rPr>
                            <w:tab/>
                          </w:r>
                          <w:r w:rsidRPr="000D797F">
                            <w:rPr>
                              <w:i/>
                              <w:sz w:val="16"/>
                            </w:rPr>
                            <w:tab/>
                            <w:t>Deputy Director</w:t>
                          </w:r>
                          <w:r w:rsidRPr="000D797F">
                            <w:rPr>
                              <w:i/>
                              <w:sz w:val="16"/>
                            </w:rPr>
                            <w:tab/>
                          </w:r>
                          <w:r>
                            <w:rPr>
                              <w:i/>
                              <w:sz w:val="16"/>
                            </w:rPr>
                            <w:t xml:space="preserve">            </w:t>
                          </w:r>
                          <w:r w:rsidRPr="000D797F">
                            <w:rPr>
                              <w:i/>
                              <w:sz w:val="16"/>
                            </w:rPr>
                            <w:t>Director, Division of Public Utilities</w:t>
                          </w:r>
                        </w:p>
                        <w:p w:rsidR="00AE58D8" w:rsidRPr="000D797F" w:rsidRDefault="00AE58D8">
                          <w:pPr>
                            <w:rPr>
                              <w:i/>
                              <w:sz w:val="30"/>
                              <w:szCs w:val="30"/>
                            </w:rPr>
                          </w:pPr>
                        </w:p>
                        <w:p w:rsidR="00AE58D8" w:rsidRDefault="00AE58D8">
                          <w:pPr>
                            <w:pStyle w:val="JobTitle"/>
                            <w:spacing w:after="58"/>
                          </w:pPr>
                        </w:p>
                        <w:p w:rsidR="00AE58D8" w:rsidRDefault="00AE58D8">
                          <w:pPr>
                            <w:pStyle w:val="JobTitle"/>
                            <w:spacing w:after="58"/>
                          </w:pPr>
                        </w:p>
                      </w:tc>
                    </w:tr>
                    <w:tr w:rsidR="00AE58D8">
                      <w:trPr>
                        <w:gridAfter w:val="1"/>
                        <w:wAfter w:w="93" w:type="dxa"/>
                        <w:trHeight w:val="987"/>
                      </w:trPr>
                      <w:tc>
                        <w:tcPr>
                          <w:tcW w:w="2160" w:type="dxa"/>
                          <w:tcBorders>
                            <w:right w:val="single" w:sz="18" w:space="0" w:color="000080"/>
                          </w:tcBorders>
                        </w:tcPr>
                        <w:p w:rsidR="00AE58D8" w:rsidRDefault="00AE58D8">
                          <w:pPr>
                            <w:spacing w:line="120" w:lineRule="exact"/>
                            <w:rPr>
                              <w:i/>
                              <w:iCs/>
                              <w:sz w:val="16"/>
                              <w:szCs w:val="16"/>
                            </w:rPr>
                          </w:pPr>
                        </w:p>
                        <w:p w:rsidR="00AE58D8" w:rsidRDefault="00AE58D8">
                          <w:pPr>
                            <w:pStyle w:val="Name"/>
                          </w:pPr>
                          <w:r>
                            <w:t>GARY HERBERT</w:t>
                          </w:r>
                        </w:p>
                        <w:p w:rsidR="00AE58D8" w:rsidRDefault="00AE58D8">
                          <w:pPr>
                            <w:pStyle w:val="Heading1"/>
                            <w:rPr>
                              <w:b w:val="0"/>
                              <w:bCs w:val="0"/>
                              <w:i/>
                              <w:iCs/>
                              <w:sz w:val="16"/>
                            </w:rPr>
                          </w:pPr>
                          <w:r>
                            <w:rPr>
                              <w:b w:val="0"/>
                              <w:bCs w:val="0"/>
                              <w:i/>
                              <w:iCs/>
                              <w:sz w:val="16"/>
                            </w:rPr>
                            <w:t>Governor</w:t>
                          </w:r>
                        </w:p>
                        <w:p w:rsidR="00AE58D8" w:rsidRDefault="00AE58D8">
                          <w:pPr>
                            <w:jc w:val="center"/>
                            <w:rPr>
                              <w:rFonts w:ascii="Times" w:hAnsi="Times"/>
                              <w:sz w:val="16"/>
                            </w:rPr>
                          </w:pPr>
                          <w:r>
                            <w:rPr>
                              <w:rFonts w:ascii="Times" w:hAnsi="Times"/>
                              <w:sz w:val="16"/>
                            </w:rPr>
                            <w:t>SPENCER J. COX</w:t>
                          </w:r>
                        </w:p>
                        <w:p w:rsidR="00AE58D8" w:rsidRDefault="00AE58D8">
                          <w:pPr>
                            <w:pStyle w:val="JobTitle"/>
                            <w:widowControl/>
                            <w:autoSpaceDE/>
                            <w:autoSpaceDN/>
                            <w:adjustRightInd/>
                            <w:rPr>
                              <w:szCs w:val="24"/>
                            </w:rPr>
                          </w:pPr>
                          <w:r>
                            <w:rPr>
                              <w:szCs w:val="24"/>
                            </w:rPr>
                            <w:t>Lieutenant Governor</w:t>
                          </w:r>
                        </w:p>
                      </w:tc>
                      <w:tc>
                        <w:tcPr>
                          <w:tcW w:w="8007" w:type="dxa"/>
                          <w:tcBorders>
                            <w:left w:val="single" w:sz="18" w:space="0" w:color="000080"/>
                          </w:tcBorders>
                        </w:tcPr>
                        <w:p w:rsidR="00AE58D8" w:rsidRDefault="00AE58D8">
                          <w:pPr>
                            <w:spacing w:line="120" w:lineRule="exact"/>
                            <w:rPr>
                              <w:sz w:val="30"/>
                              <w:szCs w:val="30"/>
                            </w:rPr>
                          </w:pPr>
                        </w:p>
                        <w:p w:rsidR="00AE58D8" w:rsidRDefault="00AE58D8">
                          <w:pPr>
                            <w:spacing w:after="58"/>
                            <w:rPr>
                              <w:sz w:val="30"/>
                              <w:szCs w:val="30"/>
                            </w:rPr>
                          </w:pPr>
                        </w:p>
                      </w:tc>
                    </w:tr>
                  </w:tbl>
                  <w:p w:rsidR="00AE58D8" w:rsidRDefault="00AE58D8"/>
                </w:txbxContent>
              </v:textbox>
            </v:shape>
          </w:pict>
        </mc:Fallback>
      </mc:AlternateContent>
    </w:r>
    <w:r>
      <w:rPr>
        <w:noProof/>
      </w:rPr>
      <w:drawing>
        <wp:anchor distT="0" distB="0" distL="114300" distR="114300" simplePos="0" relativeHeight="251656704" behindDoc="0" locked="0" layoutInCell="1" allowOverlap="1">
          <wp:simplePos x="0" y="0"/>
          <wp:positionH relativeFrom="column">
            <wp:posOffset>-1257300</wp:posOffset>
          </wp:positionH>
          <wp:positionV relativeFrom="paragraph">
            <wp:posOffset>114300</wp:posOffset>
          </wp:positionV>
          <wp:extent cx="800100" cy="776605"/>
          <wp:effectExtent l="0" t="0" r="0" b="4445"/>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l="-1300" t="-1334" r="-1300" b="-1334"/>
                  <a:stretch>
                    <a:fillRect/>
                  </a:stretch>
                </pic:blipFill>
                <pic:spPr bwMode="auto">
                  <a:xfrm>
                    <a:off x="0" y="0"/>
                    <a:ext cx="800100" cy="776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8D8" w:rsidRDefault="00AE58D8" w:rsidP="00F210FC">
    <w:pPr>
      <w:jc w:val="right"/>
      <w:rPr>
        <w:i/>
        <w:sz w:val="20"/>
      </w:rPr>
    </w:pPr>
    <w:r>
      <w:rPr>
        <w:i/>
        <w:sz w:val="20"/>
      </w:rPr>
      <w:t>Docket No. 14-057-03 – Questar Gas Intercompany Loan Activity</w:t>
    </w:r>
  </w:p>
  <w:p w:rsidR="00AE58D8" w:rsidRPr="00DD45EB" w:rsidRDefault="00AE58D8" w:rsidP="00F210FC">
    <w:pPr>
      <w:jc w:val="right"/>
      <w:rPr>
        <w:i/>
        <w:sz w:val="20"/>
      </w:rPr>
    </w:pPr>
    <w:r>
      <w:rPr>
        <w:i/>
        <w:sz w:val="20"/>
      </w:rPr>
      <w:t>DPU Action Request Response, May 16, 2014</w:t>
    </w:r>
  </w:p>
  <w:p w:rsidR="00AE58D8" w:rsidRPr="00E942E3" w:rsidRDefault="00AC6256" w:rsidP="00F210FC">
    <w:pPr>
      <w:spacing w:line="480" w:lineRule="auto"/>
      <w:rPr>
        <w:i/>
        <w:color w:val="0000FF"/>
        <w:sz w:val="20"/>
        <w:szCs w:val="20"/>
      </w:rPr>
    </w:pPr>
    <w:r>
      <w:rPr>
        <w:i/>
        <w:noProof/>
        <w:color w:val="0000FF"/>
        <w:sz w:val="20"/>
        <w:szCs w:val="20"/>
      </w:rPr>
      <mc:AlternateContent>
        <mc:Choice Requires="wps">
          <w:drawing>
            <wp:anchor distT="0" distB="0" distL="114300" distR="114300" simplePos="0" relativeHeight="251659776" behindDoc="0" locked="0" layoutInCell="1" allowOverlap="1">
              <wp:simplePos x="0" y="0"/>
              <wp:positionH relativeFrom="column">
                <wp:posOffset>-1085850</wp:posOffset>
              </wp:positionH>
              <wp:positionV relativeFrom="paragraph">
                <wp:posOffset>-57150</wp:posOffset>
              </wp:positionV>
              <wp:extent cx="85725" cy="857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260" w:type="dxa"/>
                            <w:tblInd w:w="120" w:type="dxa"/>
                            <w:tblLayout w:type="fixed"/>
                            <w:tblCellMar>
                              <w:left w:w="120" w:type="dxa"/>
                              <w:right w:w="120" w:type="dxa"/>
                            </w:tblCellMar>
                            <w:tblLook w:val="0000" w:firstRow="0" w:lastRow="0" w:firstColumn="0" w:lastColumn="0" w:noHBand="0" w:noVBand="0"/>
                          </w:tblPr>
                          <w:tblGrid>
                            <w:gridCol w:w="2160"/>
                            <w:gridCol w:w="8100"/>
                          </w:tblGrid>
                          <w:tr w:rsidR="00AE58D8">
                            <w:trPr>
                              <w:trHeight w:hRule="exact" w:val="1890"/>
                            </w:trPr>
                            <w:tc>
                              <w:tcPr>
                                <w:tcW w:w="2160" w:type="dxa"/>
                                <w:tcBorders>
                                  <w:right w:val="single" w:sz="18" w:space="0" w:color="000080"/>
                                </w:tcBorders>
                              </w:tcPr>
                              <w:p w:rsidR="00AE58D8" w:rsidRDefault="00AE58D8">
                                <w:pPr>
                                  <w:spacing w:line="120" w:lineRule="exact"/>
                                </w:pPr>
                              </w:p>
                              <w:p w:rsidR="00AE58D8" w:rsidRDefault="00AE58D8">
                                <w:pPr>
                                  <w:pBdr>
                                    <w:top w:val="single" w:sz="6" w:space="0" w:color="FFFFFF"/>
                                    <w:left w:val="single" w:sz="6" w:space="0" w:color="FFFFFF"/>
                                    <w:bottom w:val="single" w:sz="6" w:space="0" w:color="FFFFFF"/>
                                    <w:right w:val="single" w:sz="6" w:space="0" w:color="FFFFFF"/>
                                  </w:pBdr>
                                  <w:rPr>
                                    <w:sz w:val="30"/>
                                    <w:szCs w:val="30"/>
                                  </w:rPr>
                                </w:pPr>
                              </w:p>
                              <w:p w:rsidR="00AE58D8" w:rsidRDefault="00AE58D8">
                                <w:pPr>
                                  <w:spacing w:after="58"/>
                                  <w:rPr>
                                    <w:sz w:val="30"/>
                                    <w:szCs w:val="30"/>
                                  </w:rPr>
                                </w:pPr>
                              </w:p>
                            </w:tc>
                            <w:tc>
                              <w:tcPr>
                                <w:tcW w:w="8100" w:type="dxa"/>
                                <w:tcBorders>
                                  <w:left w:val="single" w:sz="18" w:space="0" w:color="000080"/>
                                </w:tcBorders>
                              </w:tcPr>
                              <w:p w:rsidR="00AE58D8" w:rsidRDefault="00AE58D8">
                                <w:pPr>
                                  <w:pStyle w:val="JobTitle"/>
                                  <w:spacing w:after="58"/>
                                </w:pPr>
                              </w:p>
                            </w:tc>
                          </w:tr>
                          <w:tr w:rsidR="00AE58D8">
                            <w:trPr>
                              <w:trHeight w:val="987"/>
                            </w:trPr>
                            <w:tc>
                              <w:tcPr>
                                <w:tcW w:w="2160" w:type="dxa"/>
                                <w:tcBorders>
                                  <w:right w:val="single" w:sz="18" w:space="0" w:color="000080"/>
                                </w:tcBorders>
                              </w:tcPr>
                              <w:p w:rsidR="00AE58D8" w:rsidRDefault="00AE58D8">
                                <w:pPr>
                                  <w:pStyle w:val="JobTitle"/>
                                  <w:widowControl/>
                                  <w:autoSpaceDE/>
                                  <w:autoSpaceDN/>
                                  <w:adjustRightInd/>
                                  <w:rPr>
                                    <w:szCs w:val="24"/>
                                  </w:rPr>
                                </w:pPr>
                              </w:p>
                            </w:tc>
                            <w:tc>
                              <w:tcPr>
                                <w:tcW w:w="8100" w:type="dxa"/>
                                <w:tcBorders>
                                  <w:left w:val="single" w:sz="18" w:space="0" w:color="000080"/>
                                </w:tcBorders>
                              </w:tcPr>
                              <w:p w:rsidR="00AE58D8" w:rsidRDefault="00AE58D8">
                                <w:pPr>
                                  <w:spacing w:line="120" w:lineRule="exact"/>
                                  <w:rPr>
                                    <w:sz w:val="30"/>
                                    <w:szCs w:val="30"/>
                                  </w:rPr>
                                </w:pPr>
                              </w:p>
                              <w:p w:rsidR="00AE58D8" w:rsidRDefault="00AE58D8">
                                <w:pPr>
                                  <w:spacing w:after="58"/>
                                  <w:rPr>
                                    <w:sz w:val="30"/>
                                    <w:szCs w:val="30"/>
                                  </w:rPr>
                                </w:pPr>
                              </w:p>
                            </w:tc>
                          </w:tr>
                        </w:tbl>
                        <w:p w:rsidR="00AE58D8" w:rsidRDefault="00AE5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85.5pt;margin-top:-4.5pt;width:6.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OsgIAAL0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" filled="f" stroked="f">
              <v:textbox>
                <w:txbxContent>
                  <w:tbl>
                    <w:tblPr>
                      <w:tblW w:w="10260" w:type="dxa"/>
                      <w:tblInd w:w="120" w:type="dxa"/>
                      <w:tblLayout w:type="fixed"/>
                      <w:tblCellMar>
                        <w:left w:w="120" w:type="dxa"/>
                        <w:right w:w="120" w:type="dxa"/>
                      </w:tblCellMar>
                      <w:tblLook w:val="0000" w:firstRow="0" w:lastRow="0" w:firstColumn="0" w:lastColumn="0" w:noHBand="0" w:noVBand="0"/>
                    </w:tblPr>
                    <w:tblGrid>
                      <w:gridCol w:w="2160"/>
                      <w:gridCol w:w="8100"/>
                    </w:tblGrid>
                    <w:tr w:rsidR="00AE58D8">
                      <w:trPr>
                        <w:trHeight w:hRule="exact" w:val="1890"/>
                      </w:trPr>
                      <w:tc>
                        <w:tcPr>
                          <w:tcW w:w="2160" w:type="dxa"/>
                          <w:tcBorders>
                            <w:right w:val="single" w:sz="18" w:space="0" w:color="000080"/>
                          </w:tcBorders>
                        </w:tcPr>
                        <w:p w:rsidR="00AE58D8" w:rsidRDefault="00AE58D8">
                          <w:pPr>
                            <w:spacing w:line="120" w:lineRule="exact"/>
                          </w:pPr>
                        </w:p>
                        <w:p w:rsidR="00AE58D8" w:rsidRDefault="00AE58D8">
                          <w:pPr>
                            <w:pBdr>
                              <w:top w:val="single" w:sz="6" w:space="0" w:color="FFFFFF"/>
                              <w:left w:val="single" w:sz="6" w:space="0" w:color="FFFFFF"/>
                              <w:bottom w:val="single" w:sz="6" w:space="0" w:color="FFFFFF"/>
                              <w:right w:val="single" w:sz="6" w:space="0" w:color="FFFFFF"/>
                            </w:pBdr>
                            <w:rPr>
                              <w:sz w:val="30"/>
                              <w:szCs w:val="30"/>
                            </w:rPr>
                          </w:pPr>
                        </w:p>
                        <w:p w:rsidR="00AE58D8" w:rsidRDefault="00AE58D8">
                          <w:pPr>
                            <w:spacing w:after="58"/>
                            <w:rPr>
                              <w:sz w:val="30"/>
                              <w:szCs w:val="30"/>
                            </w:rPr>
                          </w:pPr>
                        </w:p>
                      </w:tc>
                      <w:tc>
                        <w:tcPr>
                          <w:tcW w:w="8100" w:type="dxa"/>
                          <w:tcBorders>
                            <w:left w:val="single" w:sz="18" w:space="0" w:color="000080"/>
                          </w:tcBorders>
                        </w:tcPr>
                        <w:p w:rsidR="00AE58D8" w:rsidRDefault="00AE58D8">
                          <w:pPr>
                            <w:pStyle w:val="JobTitle"/>
                            <w:spacing w:after="58"/>
                          </w:pPr>
                        </w:p>
                      </w:tc>
                    </w:tr>
                    <w:tr w:rsidR="00AE58D8">
                      <w:trPr>
                        <w:trHeight w:val="987"/>
                      </w:trPr>
                      <w:tc>
                        <w:tcPr>
                          <w:tcW w:w="2160" w:type="dxa"/>
                          <w:tcBorders>
                            <w:right w:val="single" w:sz="18" w:space="0" w:color="000080"/>
                          </w:tcBorders>
                        </w:tcPr>
                        <w:p w:rsidR="00AE58D8" w:rsidRDefault="00AE58D8">
                          <w:pPr>
                            <w:pStyle w:val="JobTitle"/>
                            <w:widowControl/>
                            <w:autoSpaceDE/>
                            <w:autoSpaceDN/>
                            <w:adjustRightInd/>
                            <w:rPr>
                              <w:szCs w:val="24"/>
                            </w:rPr>
                          </w:pPr>
                        </w:p>
                      </w:tc>
                      <w:tc>
                        <w:tcPr>
                          <w:tcW w:w="8100" w:type="dxa"/>
                          <w:tcBorders>
                            <w:left w:val="single" w:sz="18" w:space="0" w:color="000080"/>
                          </w:tcBorders>
                        </w:tcPr>
                        <w:p w:rsidR="00AE58D8" w:rsidRDefault="00AE58D8">
                          <w:pPr>
                            <w:spacing w:line="120" w:lineRule="exact"/>
                            <w:rPr>
                              <w:sz w:val="30"/>
                              <w:szCs w:val="30"/>
                            </w:rPr>
                          </w:pPr>
                        </w:p>
                        <w:p w:rsidR="00AE58D8" w:rsidRDefault="00AE58D8">
                          <w:pPr>
                            <w:spacing w:after="58"/>
                            <w:rPr>
                              <w:sz w:val="30"/>
                              <w:szCs w:val="30"/>
                            </w:rPr>
                          </w:pPr>
                        </w:p>
                      </w:tc>
                    </w:tr>
                  </w:tbl>
                  <w:p w:rsidR="00AE58D8" w:rsidRDefault="00AE58D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D2D14"/>
    <w:multiLevelType w:val="hybridMultilevel"/>
    <w:tmpl w:val="853A9D98"/>
    <w:lvl w:ilvl="0" w:tplc="05E6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C56249"/>
    <w:multiLevelType w:val="hybridMultilevel"/>
    <w:tmpl w:val="313C33DC"/>
    <w:lvl w:ilvl="0" w:tplc="792889C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15:restartNumberingAfterBreak="0">
    <w:nsid w:val="3C3E5841"/>
    <w:multiLevelType w:val="hybridMultilevel"/>
    <w:tmpl w:val="B9242510"/>
    <w:lvl w:ilvl="0" w:tplc="8F7AD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B4"/>
    <w:rsid w:val="000021B0"/>
    <w:rsid w:val="00002BCA"/>
    <w:rsid w:val="00004C05"/>
    <w:rsid w:val="00006F90"/>
    <w:rsid w:val="00017608"/>
    <w:rsid w:val="00020EE8"/>
    <w:rsid w:val="00025005"/>
    <w:rsid w:val="00035031"/>
    <w:rsid w:val="00037184"/>
    <w:rsid w:val="00045151"/>
    <w:rsid w:val="00050CE5"/>
    <w:rsid w:val="000514CD"/>
    <w:rsid w:val="00055C3A"/>
    <w:rsid w:val="00062422"/>
    <w:rsid w:val="0006374A"/>
    <w:rsid w:val="000637DD"/>
    <w:rsid w:val="00063C46"/>
    <w:rsid w:val="00066B60"/>
    <w:rsid w:val="00075A6E"/>
    <w:rsid w:val="00075FD3"/>
    <w:rsid w:val="000770DD"/>
    <w:rsid w:val="00082246"/>
    <w:rsid w:val="00082CE2"/>
    <w:rsid w:val="00087533"/>
    <w:rsid w:val="00092A68"/>
    <w:rsid w:val="00094A8D"/>
    <w:rsid w:val="000A2B39"/>
    <w:rsid w:val="000A46EE"/>
    <w:rsid w:val="000A4F2E"/>
    <w:rsid w:val="000A733B"/>
    <w:rsid w:val="000C3D43"/>
    <w:rsid w:val="000C7366"/>
    <w:rsid w:val="000D45B4"/>
    <w:rsid w:val="000D797F"/>
    <w:rsid w:val="000E3C8E"/>
    <w:rsid w:val="000E7E69"/>
    <w:rsid w:val="000F09D1"/>
    <w:rsid w:val="000F2717"/>
    <w:rsid w:val="000F60DF"/>
    <w:rsid w:val="000F74AA"/>
    <w:rsid w:val="00101FEB"/>
    <w:rsid w:val="001040DB"/>
    <w:rsid w:val="00106A9D"/>
    <w:rsid w:val="00106E07"/>
    <w:rsid w:val="00106F38"/>
    <w:rsid w:val="001173D4"/>
    <w:rsid w:val="00117A6C"/>
    <w:rsid w:val="0012125E"/>
    <w:rsid w:val="00123955"/>
    <w:rsid w:val="00124B09"/>
    <w:rsid w:val="00125131"/>
    <w:rsid w:val="0012609B"/>
    <w:rsid w:val="00132F46"/>
    <w:rsid w:val="0015470E"/>
    <w:rsid w:val="00156117"/>
    <w:rsid w:val="00160EBC"/>
    <w:rsid w:val="00170CCA"/>
    <w:rsid w:val="00175032"/>
    <w:rsid w:val="001761F6"/>
    <w:rsid w:val="00176C46"/>
    <w:rsid w:val="00180151"/>
    <w:rsid w:val="00181119"/>
    <w:rsid w:val="00181E2C"/>
    <w:rsid w:val="00183A10"/>
    <w:rsid w:val="00192CAD"/>
    <w:rsid w:val="00192F09"/>
    <w:rsid w:val="0019390A"/>
    <w:rsid w:val="001940B2"/>
    <w:rsid w:val="00194772"/>
    <w:rsid w:val="0019590A"/>
    <w:rsid w:val="00196339"/>
    <w:rsid w:val="00196B2C"/>
    <w:rsid w:val="001A02CC"/>
    <w:rsid w:val="001A0A15"/>
    <w:rsid w:val="001A20C4"/>
    <w:rsid w:val="001A2979"/>
    <w:rsid w:val="001A7111"/>
    <w:rsid w:val="001B212D"/>
    <w:rsid w:val="001B342B"/>
    <w:rsid w:val="001B36D6"/>
    <w:rsid w:val="001C007E"/>
    <w:rsid w:val="001C02C7"/>
    <w:rsid w:val="001C2AE5"/>
    <w:rsid w:val="001C58FE"/>
    <w:rsid w:val="001C6E5E"/>
    <w:rsid w:val="001D2DB0"/>
    <w:rsid w:val="001D5248"/>
    <w:rsid w:val="001D5FDE"/>
    <w:rsid w:val="001F0CB9"/>
    <w:rsid w:val="001F22ED"/>
    <w:rsid w:val="001F3D56"/>
    <w:rsid w:val="0021038E"/>
    <w:rsid w:val="002110F9"/>
    <w:rsid w:val="002118A3"/>
    <w:rsid w:val="00221C4B"/>
    <w:rsid w:val="00230B0B"/>
    <w:rsid w:val="00232501"/>
    <w:rsid w:val="002372D1"/>
    <w:rsid w:val="002377CF"/>
    <w:rsid w:val="002441EB"/>
    <w:rsid w:val="00246C64"/>
    <w:rsid w:val="00252713"/>
    <w:rsid w:val="0025283C"/>
    <w:rsid w:val="0026032B"/>
    <w:rsid w:val="00263351"/>
    <w:rsid w:val="00265BDE"/>
    <w:rsid w:val="00272476"/>
    <w:rsid w:val="00273CCE"/>
    <w:rsid w:val="002831A3"/>
    <w:rsid w:val="00283CBD"/>
    <w:rsid w:val="00290FE2"/>
    <w:rsid w:val="002A092F"/>
    <w:rsid w:val="002A55D3"/>
    <w:rsid w:val="002A6BBD"/>
    <w:rsid w:val="002A75CF"/>
    <w:rsid w:val="002B0BFC"/>
    <w:rsid w:val="002B6935"/>
    <w:rsid w:val="002B7D74"/>
    <w:rsid w:val="002C107A"/>
    <w:rsid w:val="002C1C5A"/>
    <w:rsid w:val="002C6557"/>
    <w:rsid w:val="002C6C80"/>
    <w:rsid w:val="002C751E"/>
    <w:rsid w:val="002D25DE"/>
    <w:rsid w:val="002D6CD2"/>
    <w:rsid w:val="002D7C8A"/>
    <w:rsid w:val="002D7D6D"/>
    <w:rsid w:val="002E019A"/>
    <w:rsid w:val="002E0507"/>
    <w:rsid w:val="002E3DD3"/>
    <w:rsid w:val="002E4138"/>
    <w:rsid w:val="002E73E3"/>
    <w:rsid w:val="002F1906"/>
    <w:rsid w:val="002F269F"/>
    <w:rsid w:val="002F2C68"/>
    <w:rsid w:val="002F3AB8"/>
    <w:rsid w:val="0030196C"/>
    <w:rsid w:val="003020FC"/>
    <w:rsid w:val="0030354F"/>
    <w:rsid w:val="003071F0"/>
    <w:rsid w:val="0031194E"/>
    <w:rsid w:val="00314DFA"/>
    <w:rsid w:val="003168A3"/>
    <w:rsid w:val="00316E12"/>
    <w:rsid w:val="0031705D"/>
    <w:rsid w:val="00321B8B"/>
    <w:rsid w:val="00324F9B"/>
    <w:rsid w:val="003254BD"/>
    <w:rsid w:val="00326E3E"/>
    <w:rsid w:val="0033217A"/>
    <w:rsid w:val="00333A65"/>
    <w:rsid w:val="00333F17"/>
    <w:rsid w:val="003362C8"/>
    <w:rsid w:val="0033642D"/>
    <w:rsid w:val="003405F2"/>
    <w:rsid w:val="00341290"/>
    <w:rsid w:val="00343FB2"/>
    <w:rsid w:val="00345482"/>
    <w:rsid w:val="00345829"/>
    <w:rsid w:val="00350D8B"/>
    <w:rsid w:val="00350FDB"/>
    <w:rsid w:val="00351679"/>
    <w:rsid w:val="00361791"/>
    <w:rsid w:val="00363843"/>
    <w:rsid w:val="003646D6"/>
    <w:rsid w:val="0036559D"/>
    <w:rsid w:val="00371EA0"/>
    <w:rsid w:val="00372636"/>
    <w:rsid w:val="00376D6F"/>
    <w:rsid w:val="00377017"/>
    <w:rsid w:val="003839CC"/>
    <w:rsid w:val="00383E8B"/>
    <w:rsid w:val="003849A3"/>
    <w:rsid w:val="00386CDB"/>
    <w:rsid w:val="003900F1"/>
    <w:rsid w:val="00391E50"/>
    <w:rsid w:val="00394AB9"/>
    <w:rsid w:val="0039560B"/>
    <w:rsid w:val="003A2059"/>
    <w:rsid w:val="003A2B7B"/>
    <w:rsid w:val="003A4DE3"/>
    <w:rsid w:val="003A6793"/>
    <w:rsid w:val="003A6DD2"/>
    <w:rsid w:val="003A75A9"/>
    <w:rsid w:val="003B496D"/>
    <w:rsid w:val="003C2227"/>
    <w:rsid w:val="003D074B"/>
    <w:rsid w:val="003D1F37"/>
    <w:rsid w:val="003D414B"/>
    <w:rsid w:val="003E05A9"/>
    <w:rsid w:val="003E1B74"/>
    <w:rsid w:val="003E5742"/>
    <w:rsid w:val="003F0D78"/>
    <w:rsid w:val="003F1490"/>
    <w:rsid w:val="003F1BD7"/>
    <w:rsid w:val="003F3306"/>
    <w:rsid w:val="004168C0"/>
    <w:rsid w:val="00420301"/>
    <w:rsid w:val="004206D3"/>
    <w:rsid w:val="00423107"/>
    <w:rsid w:val="004246CD"/>
    <w:rsid w:val="004250BC"/>
    <w:rsid w:val="00430CE3"/>
    <w:rsid w:val="00441817"/>
    <w:rsid w:val="00441A9B"/>
    <w:rsid w:val="00444005"/>
    <w:rsid w:val="0044788B"/>
    <w:rsid w:val="00453753"/>
    <w:rsid w:val="00455826"/>
    <w:rsid w:val="004564F0"/>
    <w:rsid w:val="0045729E"/>
    <w:rsid w:val="00457757"/>
    <w:rsid w:val="004615ED"/>
    <w:rsid w:val="00462711"/>
    <w:rsid w:val="00467FE7"/>
    <w:rsid w:val="00470262"/>
    <w:rsid w:val="00471710"/>
    <w:rsid w:val="0047555A"/>
    <w:rsid w:val="00475747"/>
    <w:rsid w:val="004773BB"/>
    <w:rsid w:val="00482F93"/>
    <w:rsid w:val="00485DCD"/>
    <w:rsid w:val="00487363"/>
    <w:rsid w:val="004902AB"/>
    <w:rsid w:val="00490EC5"/>
    <w:rsid w:val="00493CE6"/>
    <w:rsid w:val="004A2412"/>
    <w:rsid w:val="004A2FE7"/>
    <w:rsid w:val="004A3352"/>
    <w:rsid w:val="004A4A55"/>
    <w:rsid w:val="004B3307"/>
    <w:rsid w:val="004B34EE"/>
    <w:rsid w:val="004B56A5"/>
    <w:rsid w:val="004B6734"/>
    <w:rsid w:val="004B69B0"/>
    <w:rsid w:val="004C1464"/>
    <w:rsid w:val="004C419D"/>
    <w:rsid w:val="004C43B6"/>
    <w:rsid w:val="004C532A"/>
    <w:rsid w:val="004C6312"/>
    <w:rsid w:val="004C76E2"/>
    <w:rsid w:val="004C7A3A"/>
    <w:rsid w:val="004D2AA5"/>
    <w:rsid w:val="004D2AFC"/>
    <w:rsid w:val="004E189E"/>
    <w:rsid w:val="004E244C"/>
    <w:rsid w:val="004E4BFC"/>
    <w:rsid w:val="004E738E"/>
    <w:rsid w:val="004F662A"/>
    <w:rsid w:val="004F7613"/>
    <w:rsid w:val="005017B7"/>
    <w:rsid w:val="00505BF6"/>
    <w:rsid w:val="005176AE"/>
    <w:rsid w:val="00522832"/>
    <w:rsid w:val="005275BB"/>
    <w:rsid w:val="00541B93"/>
    <w:rsid w:val="00543274"/>
    <w:rsid w:val="00551B40"/>
    <w:rsid w:val="00553F4C"/>
    <w:rsid w:val="005613FD"/>
    <w:rsid w:val="00563831"/>
    <w:rsid w:val="00565864"/>
    <w:rsid w:val="00573494"/>
    <w:rsid w:val="0057437B"/>
    <w:rsid w:val="005749A6"/>
    <w:rsid w:val="005954D2"/>
    <w:rsid w:val="005967FF"/>
    <w:rsid w:val="005A33CF"/>
    <w:rsid w:val="005A3AB5"/>
    <w:rsid w:val="005B0822"/>
    <w:rsid w:val="005B6D6A"/>
    <w:rsid w:val="005C1BD8"/>
    <w:rsid w:val="005C613A"/>
    <w:rsid w:val="005C62F4"/>
    <w:rsid w:val="005D50A1"/>
    <w:rsid w:val="005D58E7"/>
    <w:rsid w:val="005D6641"/>
    <w:rsid w:val="005D6BA6"/>
    <w:rsid w:val="005E33C7"/>
    <w:rsid w:val="005E38DC"/>
    <w:rsid w:val="005F00F4"/>
    <w:rsid w:val="005F0151"/>
    <w:rsid w:val="005F2AF9"/>
    <w:rsid w:val="005F4105"/>
    <w:rsid w:val="005F6F48"/>
    <w:rsid w:val="0060076B"/>
    <w:rsid w:val="006029F3"/>
    <w:rsid w:val="00602F51"/>
    <w:rsid w:val="006106FC"/>
    <w:rsid w:val="0061397C"/>
    <w:rsid w:val="006244E5"/>
    <w:rsid w:val="00625B49"/>
    <w:rsid w:val="00626141"/>
    <w:rsid w:val="006266F1"/>
    <w:rsid w:val="00633BDD"/>
    <w:rsid w:val="006347E6"/>
    <w:rsid w:val="00634CEC"/>
    <w:rsid w:val="00634D3D"/>
    <w:rsid w:val="00637D56"/>
    <w:rsid w:val="00641804"/>
    <w:rsid w:val="00642753"/>
    <w:rsid w:val="00643D50"/>
    <w:rsid w:val="00646FFA"/>
    <w:rsid w:val="0065037B"/>
    <w:rsid w:val="00655408"/>
    <w:rsid w:val="00660E67"/>
    <w:rsid w:val="00662F35"/>
    <w:rsid w:val="006655FC"/>
    <w:rsid w:val="00674BED"/>
    <w:rsid w:val="006766EA"/>
    <w:rsid w:val="00676B5D"/>
    <w:rsid w:val="0067774B"/>
    <w:rsid w:val="00680877"/>
    <w:rsid w:val="00682593"/>
    <w:rsid w:val="00686C50"/>
    <w:rsid w:val="00690AC8"/>
    <w:rsid w:val="006917C0"/>
    <w:rsid w:val="00691E73"/>
    <w:rsid w:val="006A1B47"/>
    <w:rsid w:val="006A33E8"/>
    <w:rsid w:val="006A527A"/>
    <w:rsid w:val="006A714D"/>
    <w:rsid w:val="006B134F"/>
    <w:rsid w:val="006B1D34"/>
    <w:rsid w:val="006B6C59"/>
    <w:rsid w:val="006B70B1"/>
    <w:rsid w:val="006B738E"/>
    <w:rsid w:val="006D15DB"/>
    <w:rsid w:val="006D2609"/>
    <w:rsid w:val="006D4933"/>
    <w:rsid w:val="006D4E36"/>
    <w:rsid w:val="006D72CE"/>
    <w:rsid w:val="006E168B"/>
    <w:rsid w:val="006E5D82"/>
    <w:rsid w:val="006E61FD"/>
    <w:rsid w:val="006E69FC"/>
    <w:rsid w:val="006F183B"/>
    <w:rsid w:val="006F1CE6"/>
    <w:rsid w:val="006F70D5"/>
    <w:rsid w:val="006F7DCA"/>
    <w:rsid w:val="006F7E2A"/>
    <w:rsid w:val="00707BA9"/>
    <w:rsid w:val="007103FF"/>
    <w:rsid w:val="007168EA"/>
    <w:rsid w:val="00717349"/>
    <w:rsid w:val="00721596"/>
    <w:rsid w:val="00723150"/>
    <w:rsid w:val="00724923"/>
    <w:rsid w:val="00732EFC"/>
    <w:rsid w:val="0073321C"/>
    <w:rsid w:val="00736C47"/>
    <w:rsid w:val="00737FAB"/>
    <w:rsid w:val="007406A9"/>
    <w:rsid w:val="0074143F"/>
    <w:rsid w:val="00750B88"/>
    <w:rsid w:val="00753145"/>
    <w:rsid w:val="0076222E"/>
    <w:rsid w:val="0076391B"/>
    <w:rsid w:val="0077293D"/>
    <w:rsid w:val="00774FDE"/>
    <w:rsid w:val="00781F06"/>
    <w:rsid w:val="0078344A"/>
    <w:rsid w:val="0078504A"/>
    <w:rsid w:val="0079343B"/>
    <w:rsid w:val="007A006B"/>
    <w:rsid w:val="007A098D"/>
    <w:rsid w:val="007A6A41"/>
    <w:rsid w:val="007A77AE"/>
    <w:rsid w:val="007B0146"/>
    <w:rsid w:val="007B1050"/>
    <w:rsid w:val="007B1CF2"/>
    <w:rsid w:val="007B693E"/>
    <w:rsid w:val="007C2B56"/>
    <w:rsid w:val="007C3622"/>
    <w:rsid w:val="007C53D8"/>
    <w:rsid w:val="007C61DC"/>
    <w:rsid w:val="007D03DB"/>
    <w:rsid w:val="007D4B8A"/>
    <w:rsid w:val="007D7063"/>
    <w:rsid w:val="007F091F"/>
    <w:rsid w:val="007F18B1"/>
    <w:rsid w:val="007F3EDD"/>
    <w:rsid w:val="007F5D93"/>
    <w:rsid w:val="008003C0"/>
    <w:rsid w:val="00805286"/>
    <w:rsid w:val="008070E4"/>
    <w:rsid w:val="00807A1A"/>
    <w:rsid w:val="00807B21"/>
    <w:rsid w:val="0081175C"/>
    <w:rsid w:val="00814169"/>
    <w:rsid w:val="00820EF1"/>
    <w:rsid w:val="00822E28"/>
    <w:rsid w:val="00823128"/>
    <w:rsid w:val="00824E90"/>
    <w:rsid w:val="0083020D"/>
    <w:rsid w:val="00830CFD"/>
    <w:rsid w:val="00831665"/>
    <w:rsid w:val="0083249A"/>
    <w:rsid w:val="0083462A"/>
    <w:rsid w:val="00836D25"/>
    <w:rsid w:val="0084324E"/>
    <w:rsid w:val="0084395C"/>
    <w:rsid w:val="00853E87"/>
    <w:rsid w:val="008603FF"/>
    <w:rsid w:val="008625E8"/>
    <w:rsid w:val="00862A7C"/>
    <w:rsid w:val="0086333B"/>
    <w:rsid w:val="00863B1F"/>
    <w:rsid w:val="00864235"/>
    <w:rsid w:val="0086576E"/>
    <w:rsid w:val="00866403"/>
    <w:rsid w:val="00871E9B"/>
    <w:rsid w:val="0087210D"/>
    <w:rsid w:val="008755E6"/>
    <w:rsid w:val="00877B77"/>
    <w:rsid w:val="008842CE"/>
    <w:rsid w:val="008879A9"/>
    <w:rsid w:val="00890413"/>
    <w:rsid w:val="00892B2A"/>
    <w:rsid w:val="008956E9"/>
    <w:rsid w:val="008C0C64"/>
    <w:rsid w:val="008D5ADD"/>
    <w:rsid w:val="008E00A0"/>
    <w:rsid w:val="008E1DE4"/>
    <w:rsid w:val="008E3FE4"/>
    <w:rsid w:val="008E4F8F"/>
    <w:rsid w:val="008E62FA"/>
    <w:rsid w:val="008E7A33"/>
    <w:rsid w:val="008F0A2E"/>
    <w:rsid w:val="008F21DD"/>
    <w:rsid w:val="008F3CDE"/>
    <w:rsid w:val="008F57A8"/>
    <w:rsid w:val="008F7720"/>
    <w:rsid w:val="009055C3"/>
    <w:rsid w:val="00911FB6"/>
    <w:rsid w:val="00912DB9"/>
    <w:rsid w:val="0091408C"/>
    <w:rsid w:val="009221BE"/>
    <w:rsid w:val="00922A51"/>
    <w:rsid w:val="00922E2D"/>
    <w:rsid w:val="00923972"/>
    <w:rsid w:val="00927B22"/>
    <w:rsid w:val="00931A83"/>
    <w:rsid w:val="0093244F"/>
    <w:rsid w:val="009407F5"/>
    <w:rsid w:val="00942BFD"/>
    <w:rsid w:val="00944A3D"/>
    <w:rsid w:val="00944D6E"/>
    <w:rsid w:val="009672FB"/>
    <w:rsid w:val="00971FE1"/>
    <w:rsid w:val="0097202D"/>
    <w:rsid w:val="0097220E"/>
    <w:rsid w:val="009772E7"/>
    <w:rsid w:val="00977987"/>
    <w:rsid w:val="0098307C"/>
    <w:rsid w:val="0098587D"/>
    <w:rsid w:val="009871BF"/>
    <w:rsid w:val="0099389C"/>
    <w:rsid w:val="0099630F"/>
    <w:rsid w:val="009A796A"/>
    <w:rsid w:val="009B4839"/>
    <w:rsid w:val="009B707F"/>
    <w:rsid w:val="009C00B3"/>
    <w:rsid w:val="009C5EF3"/>
    <w:rsid w:val="009D32C4"/>
    <w:rsid w:val="009D5812"/>
    <w:rsid w:val="009D5BDF"/>
    <w:rsid w:val="009E1124"/>
    <w:rsid w:val="009E6D35"/>
    <w:rsid w:val="009F5107"/>
    <w:rsid w:val="009F7D9B"/>
    <w:rsid w:val="00A0581A"/>
    <w:rsid w:val="00A07316"/>
    <w:rsid w:val="00A11B93"/>
    <w:rsid w:val="00A13404"/>
    <w:rsid w:val="00A14C71"/>
    <w:rsid w:val="00A16FB8"/>
    <w:rsid w:val="00A20C6A"/>
    <w:rsid w:val="00A2650E"/>
    <w:rsid w:val="00A41D52"/>
    <w:rsid w:val="00A4285E"/>
    <w:rsid w:val="00A42FBA"/>
    <w:rsid w:val="00A4336C"/>
    <w:rsid w:val="00A46107"/>
    <w:rsid w:val="00A46BF8"/>
    <w:rsid w:val="00A56CC1"/>
    <w:rsid w:val="00A57CB0"/>
    <w:rsid w:val="00A62283"/>
    <w:rsid w:val="00A6345A"/>
    <w:rsid w:val="00A72C62"/>
    <w:rsid w:val="00A74440"/>
    <w:rsid w:val="00A74E73"/>
    <w:rsid w:val="00A80EA2"/>
    <w:rsid w:val="00A84B8E"/>
    <w:rsid w:val="00A87377"/>
    <w:rsid w:val="00A875C7"/>
    <w:rsid w:val="00A87B21"/>
    <w:rsid w:val="00A93734"/>
    <w:rsid w:val="00A95619"/>
    <w:rsid w:val="00A9666C"/>
    <w:rsid w:val="00AA29D2"/>
    <w:rsid w:val="00AA614C"/>
    <w:rsid w:val="00AB2A15"/>
    <w:rsid w:val="00AB79D0"/>
    <w:rsid w:val="00AC0354"/>
    <w:rsid w:val="00AC5BE7"/>
    <w:rsid w:val="00AC6256"/>
    <w:rsid w:val="00AD013A"/>
    <w:rsid w:val="00AD40E2"/>
    <w:rsid w:val="00AE3B87"/>
    <w:rsid w:val="00AE58D8"/>
    <w:rsid w:val="00AE7CD3"/>
    <w:rsid w:val="00AF6513"/>
    <w:rsid w:val="00B119EB"/>
    <w:rsid w:val="00B126DC"/>
    <w:rsid w:val="00B140A2"/>
    <w:rsid w:val="00B15D71"/>
    <w:rsid w:val="00B17341"/>
    <w:rsid w:val="00B21C9C"/>
    <w:rsid w:val="00B26CC1"/>
    <w:rsid w:val="00B40E81"/>
    <w:rsid w:val="00B43A6A"/>
    <w:rsid w:val="00B476FF"/>
    <w:rsid w:val="00B515B2"/>
    <w:rsid w:val="00B532F6"/>
    <w:rsid w:val="00B54AA1"/>
    <w:rsid w:val="00B54C31"/>
    <w:rsid w:val="00B576EA"/>
    <w:rsid w:val="00B65ADC"/>
    <w:rsid w:val="00B65BC2"/>
    <w:rsid w:val="00B67C42"/>
    <w:rsid w:val="00B70ACA"/>
    <w:rsid w:val="00B72879"/>
    <w:rsid w:val="00B76CBD"/>
    <w:rsid w:val="00B80603"/>
    <w:rsid w:val="00B8641D"/>
    <w:rsid w:val="00B869EF"/>
    <w:rsid w:val="00B87AF3"/>
    <w:rsid w:val="00B91842"/>
    <w:rsid w:val="00B952BD"/>
    <w:rsid w:val="00B95AAA"/>
    <w:rsid w:val="00BA5171"/>
    <w:rsid w:val="00BB2595"/>
    <w:rsid w:val="00BB2D45"/>
    <w:rsid w:val="00BC1EA9"/>
    <w:rsid w:val="00BC2121"/>
    <w:rsid w:val="00BD2196"/>
    <w:rsid w:val="00BD3738"/>
    <w:rsid w:val="00BD53B6"/>
    <w:rsid w:val="00BD73BD"/>
    <w:rsid w:val="00BE01DE"/>
    <w:rsid w:val="00BE2747"/>
    <w:rsid w:val="00BE2B1A"/>
    <w:rsid w:val="00BE2D53"/>
    <w:rsid w:val="00BE61F4"/>
    <w:rsid w:val="00BE68AE"/>
    <w:rsid w:val="00BE7FF4"/>
    <w:rsid w:val="00BF3453"/>
    <w:rsid w:val="00BF4DDE"/>
    <w:rsid w:val="00C044D2"/>
    <w:rsid w:val="00C047F4"/>
    <w:rsid w:val="00C06F54"/>
    <w:rsid w:val="00C10546"/>
    <w:rsid w:val="00C162D4"/>
    <w:rsid w:val="00C16ECC"/>
    <w:rsid w:val="00C20871"/>
    <w:rsid w:val="00C21C8E"/>
    <w:rsid w:val="00C23FC9"/>
    <w:rsid w:val="00C243E9"/>
    <w:rsid w:val="00C264E0"/>
    <w:rsid w:val="00C2715D"/>
    <w:rsid w:val="00C3189D"/>
    <w:rsid w:val="00C35415"/>
    <w:rsid w:val="00C35CD4"/>
    <w:rsid w:val="00C438B6"/>
    <w:rsid w:val="00C450E8"/>
    <w:rsid w:val="00C53073"/>
    <w:rsid w:val="00C53958"/>
    <w:rsid w:val="00C63387"/>
    <w:rsid w:val="00C6669C"/>
    <w:rsid w:val="00C75E75"/>
    <w:rsid w:val="00C76D58"/>
    <w:rsid w:val="00C800C5"/>
    <w:rsid w:val="00C82C85"/>
    <w:rsid w:val="00C8450F"/>
    <w:rsid w:val="00C909A7"/>
    <w:rsid w:val="00C926D2"/>
    <w:rsid w:val="00C92A78"/>
    <w:rsid w:val="00C9310E"/>
    <w:rsid w:val="00CA2445"/>
    <w:rsid w:val="00CB2DE8"/>
    <w:rsid w:val="00CB416D"/>
    <w:rsid w:val="00CB4255"/>
    <w:rsid w:val="00CB6528"/>
    <w:rsid w:val="00CC2B60"/>
    <w:rsid w:val="00CE0FA0"/>
    <w:rsid w:val="00CE22C7"/>
    <w:rsid w:val="00CE24D0"/>
    <w:rsid w:val="00CE782E"/>
    <w:rsid w:val="00CF2943"/>
    <w:rsid w:val="00CF3F06"/>
    <w:rsid w:val="00D01CAC"/>
    <w:rsid w:val="00D01EF0"/>
    <w:rsid w:val="00D01FF9"/>
    <w:rsid w:val="00D10665"/>
    <w:rsid w:val="00D1252F"/>
    <w:rsid w:val="00D17C8C"/>
    <w:rsid w:val="00D27CBF"/>
    <w:rsid w:val="00D3295C"/>
    <w:rsid w:val="00D33D34"/>
    <w:rsid w:val="00D41F8F"/>
    <w:rsid w:val="00D45645"/>
    <w:rsid w:val="00D52DA2"/>
    <w:rsid w:val="00D53DD6"/>
    <w:rsid w:val="00D5444F"/>
    <w:rsid w:val="00D57457"/>
    <w:rsid w:val="00D574B6"/>
    <w:rsid w:val="00D57994"/>
    <w:rsid w:val="00D613CB"/>
    <w:rsid w:val="00D65354"/>
    <w:rsid w:val="00D65AEE"/>
    <w:rsid w:val="00D67334"/>
    <w:rsid w:val="00D71B47"/>
    <w:rsid w:val="00D7279D"/>
    <w:rsid w:val="00D74D13"/>
    <w:rsid w:val="00D75F2C"/>
    <w:rsid w:val="00D80A27"/>
    <w:rsid w:val="00D81D8C"/>
    <w:rsid w:val="00D8604D"/>
    <w:rsid w:val="00D93215"/>
    <w:rsid w:val="00DA16FD"/>
    <w:rsid w:val="00DA3CE1"/>
    <w:rsid w:val="00DA6F16"/>
    <w:rsid w:val="00DB4A0F"/>
    <w:rsid w:val="00DB5253"/>
    <w:rsid w:val="00DB638F"/>
    <w:rsid w:val="00DB6FBB"/>
    <w:rsid w:val="00DB7776"/>
    <w:rsid w:val="00DC0655"/>
    <w:rsid w:val="00DC0EE0"/>
    <w:rsid w:val="00DC1007"/>
    <w:rsid w:val="00DC10C7"/>
    <w:rsid w:val="00DD0E08"/>
    <w:rsid w:val="00DD4308"/>
    <w:rsid w:val="00DD5264"/>
    <w:rsid w:val="00DD7E1C"/>
    <w:rsid w:val="00DD7F58"/>
    <w:rsid w:val="00DE017D"/>
    <w:rsid w:val="00DE2E3C"/>
    <w:rsid w:val="00DF21BC"/>
    <w:rsid w:val="00DF42AC"/>
    <w:rsid w:val="00E02714"/>
    <w:rsid w:val="00E02DE3"/>
    <w:rsid w:val="00E07C7D"/>
    <w:rsid w:val="00E1793A"/>
    <w:rsid w:val="00E22D98"/>
    <w:rsid w:val="00E368FF"/>
    <w:rsid w:val="00E37D09"/>
    <w:rsid w:val="00E40F71"/>
    <w:rsid w:val="00E441DB"/>
    <w:rsid w:val="00E44B91"/>
    <w:rsid w:val="00E550DE"/>
    <w:rsid w:val="00E6206B"/>
    <w:rsid w:val="00E64FC0"/>
    <w:rsid w:val="00E67C05"/>
    <w:rsid w:val="00E7703B"/>
    <w:rsid w:val="00E827E2"/>
    <w:rsid w:val="00E82A11"/>
    <w:rsid w:val="00E84914"/>
    <w:rsid w:val="00E85600"/>
    <w:rsid w:val="00E9361A"/>
    <w:rsid w:val="00E942E3"/>
    <w:rsid w:val="00E95836"/>
    <w:rsid w:val="00E95BA1"/>
    <w:rsid w:val="00E96465"/>
    <w:rsid w:val="00E9770A"/>
    <w:rsid w:val="00EA15B1"/>
    <w:rsid w:val="00EA2947"/>
    <w:rsid w:val="00EB0E76"/>
    <w:rsid w:val="00EB33A3"/>
    <w:rsid w:val="00EE24EB"/>
    <w:rsid w:val="00EF15CE"/>
    <w:rsid w:val="00EF2BEB"/>
    <w:rsid w:val="00EF5DC0"/>
    <w:rsid w:val="00EF6F3B"/>
    <w:rsid w:val="00EF767A"/>
    <w:rsid w:val="00F13E9B"/>
    <w:rsid w:val="00F15670"/>
    <w:rsid w:val="00F15C23"/>
    <w:rsid w:val="00F17694"/>
    <w:rsid w:val="00F17B64"/>
    <w:rsid w:val="00F210FC"/>
    <w:rsid w:val="00F22AB4"/>
    <w:rsid w:val="00F26436"/>
    <w:rsid w:val="00F32031"/>
    <w:rsid w:val="00F33F3C"/>
    <w:rsid w:val="00F37835"/>
    <w:rsid w:val="00F40C0E"/>
    <w:rsid w:val="00F415C7"/>
    <w:rsid w:val="00F47391"/>
    <w:rsid w:val="00F47397"/>
    <w:rsid w:val="00F509ED"/>
    <w:rsid w:val="00F51EB6"/>
    <w:rsid w:val="00F5353C"/>
    <w:rsid w:val="00F64D65"/>
    <w:rsid w:val="00F6616A"/>
    <w:rsid w:val="00F705EB"/>
    <w:rsid w:val="00F71D83"/>
    <w:rsid w:val="00F74414"/>
    <w:rsid w:val="00F76705"/>
    <w:rsid w:val="00F77FC8"/>
    <w:rsid w:val="00F80B33"/>
    <w:rsid w:val="00F8210D"/>
    <w:rsid w:val="00F827C9"/>
    <w:rsid w:val="00F85C15"/>
    <w:rsid w:val="00F86290"/>
    <w:rsid w:val="00FA0C4A"/>
    <w:rsid w:val="00FA2DC2"/>
    <w:rsid w:val="00FA34BA"/>
    <w:rsid w:val="00FB1327"/>
    <w:rsid w:val="00FB5529"/>
    <w:rsid w:val="00FC62B1"/>
    <w:rsid w:val="00FD1268"/>
    <w:rsid w:val="00FD4377"/>
    <w:rsid w:val="00FD5574"/>
    <w:rsid w:val="00FD7EB4"/>
    <w:rsid w:val="00FE0D8B"/>
    <w:rsid w:val="00FE4537"/>
    <w:rsid w:val="00FE45D9"/>
    <w:rsid w:val="00FE6752"/>
    <w:rsid w:val="00FF3777"/>
    <w:rsid w:val="00FF4022"/>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C6D56ADA-E3F8-4212-A518-4E6EED2F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AE"/>
    <w:rPr>
      <w:sz w:val="24"/>
      <w:szCs w:val="24"/>
    </w:rPr>
  </w:style>
  <w:style w:type="paragraph" w:styleId="Heading1">
    <w:name w:val="heading 1"/>
    <w:basedOn w:val="Normal"/>
    <w:next w:val="Normal"/>
    <w:qFormat/>
    <w:rsid w:val="00A11B93"/>
    <w:pPr>
      <w:keepNext/>
      <w:spacing w:after="58"/>
      <w:jc w:val="center"/>
      <w:outlineLvl w:val="0"/>
    </w:pPr>
    <w:rPr>
      <w:b/>
      <w:bCs/>
      <w:szCs w:val="30"/>
    </w:rPr>
  </w:style>
  <w:style w:type="paragraph" w:styleId="Heading2">
    <w:name w:val="heading 2"/>
    <w:basedOn w:val="Normal"/>
    <w:next w:val="Normal"/>
    <w:qFormat/>
    <w:rsid w:val="00A11B93"/>
    <w:pPr>
      <w:keepNext/>
      <w:outlineLvl w:val="1"/>
    </w:pPr>
    <w:rPr>
      <w:sz w:val="36"/>
    </w:rPr>
  </w:style>
  <w:style w:type="paragraph" w:styleId="Heading9">
    <w:name w:val="heading 9"/>
    <w:basedOn w:val="Normal"/>
    <w:next w:val="Normal"/>
    <w:qFormat/>
    <w:rsid w:val="00A11B93"/>
    <w:pPr>
      <w:keepNext/>
      <w:jc w:val="center"/>
      <w:outlineLvl w:val="8"/>
    </w:pPr>
    <w:rPr>
      <w:rFonts w:ascii="Times" w:hAnsi="Times"/>
      <w:kern w:val="1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A11B93"/>
    <w:pPr>
      <w:widowControl w:val="0"/>
      <w:autoSpaceDE w:val="0"/>
      <w:autoSpaceDN w:val="0"/>
      <w:adjustRightInd w:val="0"/>
      <w:jc w:val="center"/>
    </w:pPr>
    <w:rPr>
      <w:sz w:val="16"/>
      <w:szCs w:val="16"/>
    </w:rPr>
  </w:style>
  <w:style w:type="paragraph" w:customStyle="1" w:styleId="JobTitle">
    <w:name w:val="JobTitle"/>
    <w:basedOn w:val="Normal"/>
    <w:rsid w:val="00A11B93"/>
    <w:pPr>
      <w:widowControl w:val="0"/>
      <w:autoSpaceDE w:val="0"/>
      <w:autoSpaceDN w:val="0"/>
      <w:adjustRightInd w:val="0"/>
      <w:jc w:val="center"/>
    </w:pPr>
    <w:rPr>
      <w:i/>
      <w:iCs/>
      <w:sz w:val="16"/>
      <w:szCs w:val="16"/>
    </w:rPr>
  </w:style>
  <w:style w:type="paragraph" w:styleId="Header">
    <w:name w:val="header"/>
    <w:basedOn w:val="Normal"/>
    <w:rsid w:val="00A11B93"/>
    <w:pPr>
      <w:tabs>
        <w:tab w:val="center" w:pos="4320"/>
        <w:tab w:val="right" w:pos="8640"/>
      </w:tabs>
    </w:pPr>
  </w:style>
  <w:style w:type="paragraph" w:styleId="Footer">
    <w:name w:val="footer"/>
    <w:basedOn w:val="Normal"/>
    <w:rsid w:val="00A11B93"/>
    <w:pPr>
      <w:tabs>
        <w:tab w:val="center" w:pos="4320"/>
        <w:tab w:val="right" w:pos="8640"/>
      </w:tabs>
    </w:pPr>
  </w:style>
  <w:style w:type="paragraph" w:styleId="FootnoteText">
    <w:name w:val="footnote text"/>
    <w:basedOn w:val="Normal"/>
    <w:semiHidden/>
    <w:rsid w:val="003168A3"/>
    <w:rPr>
      <w:sz w:val="20"/>
      <w:szCs w:val="20"/>
    </w:rPr>
  </w:style>
  <w:style w:type="character" w:styleId="FootnoteReference">
    <w:name w:val="footnote reference"/>
    <w:semiHidden/>
    <w:rsid w:val="003168A3"/>
    <w:rPr>
      <w:vertAlign w:val="superscript"/>
    </w:rPr>
  </w:style>
  <w:style w:type="character" w:styleId="Hyperlink">
    <w:name w:val="Hyperlink"/>
    <w:rsid w:val="00DD5264"/>
    <w:rPr>
      <w:color w:val="0000FF"/>
      <w:u w:val="single"/>
    </w:rPr>
  </w:style>
  <w:style w:type="paragraph" w:customStyle="1" w:styleId="MessageHeaderFirst">
    <w:name w:val="Message Header First"/>
    <w:basedOn w:val="MessageHeader"/>
    <w:next w:val="MessageHeader"/>
    <w:rsid w:val="00DD5264"/>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cs="Times New Roman"/>
      <w:spacing w:val="-5"/>
      <w:sz w:val="20"/>
      <w:szCs w:val="20"/>
    </w:rPr>
  </w:style>
  <w:style w:type="character" w:customStyle="1" w:styleId="MessageHeaderLabel">
    <w:name w:val="Message Header Label"/>
    <w:rsid w:val="00DD5264"/>
    <w:rPr>
      <w:rFonts w:ascii="Arial Black" w:hAnsi="Arial Black"/>
      <w:spacing w:val="-10"/>
      <w:sz w:val="18"/>
    </w:rPr>
  </w:style>
  <w:style w:type="paragraph" w:styleId="MessageHeader">
    <w:name w:val="Message Header"/>
    <w:basedOn w:val="Normal"/>
    <w:rsid w:val="00DD526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losing">
    <w:name w:val="Closing"/>
    <w:basedOn w:val="Normal"/>
    <w:rsid w:val="00F5353C"/>
    <w:pPr>
      <w:spacing w:after="960"/>
    </w:pPr>
  </w:style>
  <w:style w:type="paragraph" w:styleId="Signature">
    <w:name w:val="Signature"/>
    <w:basedOn w:val="Normal"/>
    <w:rsid w:val="00F5353C"/>
  </w:style>
  <w:style w:type="paragraph" w:styleId="BodyText">
    <w:name w:val="Body Text"/>
    <w:basedOn w:val="Normal"/>
    <w:rsid w:val="00F5353C"/>
    <w:pPr>
      <w:spacing w:after="240"/>
    </w:pPr>
  </w:style>
  <w:style w:type="character" w:styleId="FollowedHyperlink">
    <w:name w:val="FollowedHyperlink"/>
    <w:rsid w:val="004C76E2"/>
    <w:rPr>
      <w:color w:val="800080"/>
      <w:u w:val="single"/>
    </w:rPr>
  </w:style>
  <w:style w:type="paragraph" w:styleId="HTMLPreformatted">
    <w:name w:val="HTML Preformatted"/>
    <w:basedOn w:val="Normal"/>
    <w:rsid w:val="004C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676B5D"/>
    <w:rPr>
      <w:sz w:val="16"/>
      <w:szCs w:val="16"/>
    </w:rPr>
  </w:style>
  <w:style w:type="paragraph" w:styleId="CommentText">
    <w:name w:val="annotation text"/>
    <w:basedOn w:val="Normal"/>
    <w:semiHidden/>
    <w:rsid w:val="00676B5D"/>
    <w:rPr>
      <w:sz w:val="20"/>
      <w:szCs w:val="20"/>
    </w:rPr>
  </w:style>
  <w:style w:type="paragraph" w:styleId="CommentSubject">
    <w:name w:val="annotation subject"/>
    <w:basedOn w:val="CommentText"/>
    <w:next w:val="CommentText"/>
    <w:semiHidden/>
    <w:rsid w:val="00676B5D"/>
    <w:rPr>
      <w:b/>
      <w:bCs/>
    </w:rPr>
  </w:style>
  <w:style w:type="paragraph" w:styleId="BalloonText">
    <w:name w:val="Balloon Text"/>
    <w:basedOn w:val="Normal"/>
    <w:semiHidden/>
    <w:rsid w:val="00676B5D"/>
    <w:rPr>
      <w:rFonts w:ascii="Tahoma" w:hAnsi="Tahoma" w:cs="Tahoma"/>
      <w:sz w:val="16"/>
      <w:szCs w:val="16"/>
    </w:rPr>
  </w:style>
  <w:style w:type="paragraph" w:styleId="NormalWeb">
    <w:name w:val="Normal (Web)"/>
    <w:basedOn w:val="Normal"/>
    <w:uiPriority w:val="99"/>
    <w:unhideWhenUsed/>
    <w:rsid w:val="008E00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684">
      <w:bodyDiv w:val="1"/>
      <w:marLeft w:val="0"/>
      <w:marRight w:val="0"/>
      <w:marTop w:val="0"/>
      <w:marBottom w:val="0"/>
      <w:divBdr>
        <w:top w:val="none" w:sz="0" w:space="0" w:color="auto"/>
        <w:left w:val="none" w:sz="0" w:space="0" w:color="auto"/>
        <w:bottom w:val="none" w:sz="0" w:space="0" w:color="auto"/>
        <w:right w:val="none" w:sz="0" w:space="0" w:color="auto"/>
      </w:divBdr>
    </w:div>
    <w:div w:id="364524250">
      <w:bodyDiv w:val="1"/>
      <w:marLeft w:val="0"/>
      <w:marRight w:val="0"/>
      <w:marTop w:val="0"/>
      <w:marBottom w:val="0"/>
      <w:divBdr>
        <w:top w:val="none" w:sz="0" w:space="0" w:color="auto"/>
        <w:left w:val="none" w:sz="0" w:space="0" w:color="auto"/>
        <w:bottom w:val="none" w:sz="0" w:space="0" w:color="auto"/>
        <w:right w:val="none" w:sz="0" w:space="0" w:color="auto"/>
      </w:divBdr>
    </w:div>
    <w:div w:id="448009839">
      <w:bodyDiv w:val="1"/>
      <w:marLeft w:val="0"/>
      <w:marRight w:val="0"/>
      <w:marTop w:val="0"/>
      <w:marBottom w:val="0"/>
      <w:divBdr>
        <w:top w:val="none" w:sz="0" w:space="0" w:color="auto"/>
        <w:left w:val="none" w:sz="0" w:space="0" w:color="auto"/>
        <w:bottom w:val="none" w:sz="0" w:space="0" w:color="auto"/>
        <w:right w:val="none" w:sz="0" w:space="0" w:color="auto"/>
      </w:divBdr>
    </w:div>
    <w:div w:id="760566625">
      <w:bodyDiv w:val="1"/>
      <w:marLeft w:val="0"/>
      <w:marRight w:val="0"/>
      <w:marTop w:val="0"/>
      <w:marBottom w:val="0"/>
      <w:divBdr>
        <w:top w:val="none" w:sz="0" w:space="0" w:color="auto"/>
        <w:left w:val="none" w:sz="0" w:space="0" w:color="auto"/>
        <w:bottom w:val="none" w:sz="0" w:space="0" w:color="auto"/>
        <w:right w:val="none" w:sz="0" w:space="0" w:color="auto"/>
      </w:divBdr>
    </w:div>
    <w:div w:id="1325083376">
      <w:bodyDiv w:val="1"/>
      <w:marLeft w:val="0"/>
      <w:marRight w:val="0"/>
      <w:marTop w:val="0"/>
      <w:marBottom w:val="0"/>
      <w:divBdr>
        <w:top w:val="none" w:sz="0" w:space="0" w:color="auto"/>
        <w:left w:val="none" w:sz="0" w:space="0" w:color="auto"/>
        <w:bottom w:val="none" w:sz="0" w:space="0" w:color="auto"/>
        <w:right w:val="none" w:sz="0" w:space="0" w:color="auto"/>
      </w:divBdr>
    </w:div>
    <w:div w:id="1358119215">
      <w:bodyDiv w:val="1"/>
      <w:marLeft w:val="0"/>
      <w:marRight w:val="0"/>
      <w:marTop w:val="0"/>
      <w:marBottom w:val="0"/>
      <w:divBdr>
        <w:top w:val="none" w:sz="0" w:space="0" w:color="auto"/>
        <w:left w:val="none" w:sz="0" w:space="0" w:color="auto"/>
        <w:bottom w:val="none" w:sz="0" w:space="0" w:color="auto"/>
        <w:right w:val="none" w:sz="0" w:space="0" w:color="auto"/>
      </w:divBdr>
    </w:div>
    <w:div w:id="2049452403">
      <w:bodyDiv w:val="1"/>
      <w:marLeft w:val="0"/>
      <w:marRight w:val="0"/>
      <w:marTop w:val="0"/>
      <w:marBottom w:val="0"/>
      <w:divBdr>
        <w:top w:val="none" w:sz="0" w:space="0" w:color="auto"/>
        <w:left w:val="none" w:sz="0" w:space="0" w:color="auto"/>
        <w:bottom w:val="none" w:sz="0" w:space="0" w:color="auto"/>
        <w:right w:val="none" w:sz="0" w:space="0" w:color="auto"/>
      </w:divBdr>
    </w:div>
    <w:div w:id="21368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PULtrhd3WinEnv.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72.23.2.148\users\dwheelwright\My%20G%20Documents\Questar\Intercompany%20Loan\QGC-STR%20April%202014%20LOG%20Attachment%204.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72.23.2.148\users\dwheelwright\My%20G%20Documents\Questar\Intercompany%20Loan\QGC%20Bor%20Log%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a:t>Intercompany Loan Balance</a:t>
            </a:r>
          </a:p>
        </c:rich>
      </c:tx>
      <c:layout/>
      <c:overlay val="1"/>
    </c:title>
    <c:autoTitleDeleted val="0"/>
    <c:plotArea>
      <c:layout>
        <c:manualLayout>
          <c:layoutTarget val="inner"/>
          <c:xMode val="edge"/>
          <c:yMode val="edge"/>
          <c:x val="0.11164129483814525"/>
          <c:y val="0.19480351414406533"/>
          <c:w val="0.85780314960629922"/>
          <c:h val="0.53142534266550046"/>
        </c:manualLayout>
      </c:layout>
      <c:lineChart>
        <c:grouping val="standard"/>
        <c:varyColors val="1"/>
        <c:ser>
          <c:idx val="0"/>
          <c:order val="0"/>
          <c:tx>
            <c:strRef>
              <c:f>'QGC-STR'!$M$3</c:f>
              <c:strCache>
                <c:ptCount val="1"/>
                <c:pt idx="0">
                  <c:v>Balance</c:v>
                </c:pt>
              </c:strCache>
            </c:strRef>
          </c:tx>
          <c:marker>
            <c:symbol val="none"/>
          </c:marker>
          <c:cat>
            <c:numRef>
              <c:f>'QGC-STR'!$B$4:$B$71</c:f>
              <c:numCache>
                <c:formatCode>m/d/yy</c:formatCode>
                <c:ptCount val="68"/>
                <c:pt idx="0">
                  <c:v>41646</c:v>
                </c:pt>
                <c:pt idx="1">
                  <c:v>41647</c:v>
                </c:pt>
                <c:pt idx="2">
                  <c:v>41649</c:v>
                </c:pt>
                <c:pt idx="3">
                  <c:v>41652</c:v>
                </c:pt>
                <c:pt idx="4">
                  <c:v>41653</c:v>
                </c:pt>
                <c:pt idx="5">
                  <c:v>41654</c:v>
                </c:pt>
                <c:pt idx="6">
                  <c:v>41655</c:v>
                </c:pt>
                <c:pt idx="7">
                  <c:v>41656</c:v>
                </c:pt>
                <c:pt idx="8">
                  <c:v>41660</c:v>
                </c:pt>
                <c:pt idx="9">
                  <c:v>41663</c:v>
                </c:pt>
                <c:pt idx="10">
                  <c:v>41666</c:v>
                </c:pt>
                <c:pt idx="11">
                  <c:v>41669</c:v>
                </c:pt>
                <c:pt idx="12">
                  <c:v>41670</c:v>
                </c:pt>
                <c:pt idx="13">
                  <c:v>41673</c:v>
                </c:pt>
                <c:pt idx="14">
                  <c:v>41674</c:v>
                </c:pt>
                <c:pt idx="15">
                  <c:v>41675</c:v>
                </c:pt>
                <c:pt idx="16">
                  <c:v>41677</c:v>
                </c:pt>
                <c:pt idx="17">
                  <c:v>41680</c:v>
                </c:pt>
                <c:pt idx="18">
                  <c:v>41682</c:v>
                </c:pt>
                <c:pt idx="19">
                  <c:v>41683</c:v>
                </c:pt>
                <c:pt idx="20">
                  <c:v>41684</c:v>
                </c:pt>
                <c:pt idx="21">
                  <c:v>41689</c:v>
                </c:pt>
                <c:pt idx="22">
                  <c:v>41690</c:v>
                </c:pt>
                <c:pt idx="23">
                  <c:v>41691</c:v>
                </c:pt>
                <c:pt idx="24">
                  <c:v>41694</c:v>
                </c:pt>
                <c:pt idx="25">
                  <c:v>41695</c:v>
                </c:pt>
                <c:pt idx="26">
                  <c:v>41696</c:v>
                </c:pt>
                <c:pt idx="27">
                  <c:v>41697</c:v>
                </c:pt>
                <c:pt idx="28">
                  <c:v>41698</c:v>
                </c:pt>
                <c:pt idx="29">
                  <c:v>41701</c:v>
                </c:pt>
                <c:pt idx="30">
                  <c:v>41702</c:v>
                </c:pt>
                <c:pt idx="31">
                  <c:v>41703</c:v>
                </c:pt>
                <c:pt idx="32">
                  <c:v>41704</c:v>
                </c:pt>
                <c:pt idx="33">
                  <c:v>41705</c:v>
                </c:pt>
                <c:pt idx="34">
                  <c:v>41708</c:v>
                </c:pt>
                <c:pt idx="35">
                  <c:v>41709</c:v>
                </c:pt>
                <c:pt idx="36">
                  <c:v>41710</c:v>
                </c:pt>
                <c:pt idx="37">
                  <c:v>41712</c:v>
                </c:pt>
                <c:pt idx="38">
                  <c:v>41715</c:v>
                </c:pt>
                <c:pt idx="39">
                  <c:v>41716</c:v>
                </c:pt>
                <c:pt idx="40">
                  <c:v>41717</c:v>
                </c:pt>
                <c:pt idx="41">
                  <c:v>41719</c:v>
                </c:pt>
                <c:pt idx="42">
                  <c:v>41722</c:v>
                </c:pt>
                <c:pt idx="43">
                  <c:v>41723</c:v>
                </c:pt>
                <c:pt idx="44">
                  <c:v>41724</c:v>
                </c:pt>
                <c:pt idx="45">
                  <c:v>41725</c:v>
                </c:pt>
                <c:pt idx="46">
                  <c:v>41726</c:v>
                </c:pt>
                <c:pt idx="47">
                  <c:v>41729</c:v>
                </c:pt>
                <c:pt idx="48">
                  <c:v>41730</c:v>
                </c:pt>
                <c:pt idx="49">
                  <c:v>41731</c:v>
                </c:pt>
                <c:pt idx="50">
                  <c:v>41732</c:v>
                </c:pt>
                <c:pt idx="51">
                  <c:v>41733</c:v>
                </c:pt>
                <c:pt idx="52">
                  <c:v>41736</c:v>
                </c:pt>
                <c:pt idx="53">
                  <c:v>41737</c:v>
                </c:pt>
                <c:pt idx="54">
                  <c:v>41738</c:v>
                </c:pt>
                <c:pt idx="55">
                  <c:v>41739</c:v>
                </c:pt>
                <c:pt idx="56">
                  <c:v>41740</c:v>
                </c:pt>
                <c:pt idx="57">
                  <c:v>41745</c:v>
                </c:pt>
                <c:pt idx="58">
                  <c:v>41746</c:v>
                </c:pt>
                <c:pt idx="59">
                  <c:v>41747</c:v>
                </c:pt>
                <c:pt idx="60">
                  <c:v>41750</c:v>
                </c:pt>
                <c:pt idx="61">
                  <c:v>41751</c:v>
                </c:pt>
                <c:pt idx="62">
                  <c:v>41752</c:v>
                </c:pt>
                <c:pt idx="63">
                  <c:v>41753</c:v>
                </c:pt>
                <c:pt idx="64">
                  <c:v>41754</c:v>
                </c:pt>
                <c:pt idx="65">
                  <c:v>41757</c:v>
                </c:pt>
                <c:pt idx="66">
                  <c:v>41758</c:v>
                </c:pt>
                <c:pt idx="67">
                  <c:v>41759</c:v>
                </c:pt>
              </c:numCache>
            </c:numRef>
          </c:cat>
          <c:val>
            <c:numRef>
              <c:f>'QGC-STR'!$M$4:$M$51</c:f>
              <c:numCache>
                <c:formatCode>#,##0</c:formatCode>
                <c:ptCount val="48"/>
                <c:pt idx="0">
                  <c:v>1500000</c:v>
                </c:pt>
                <c:pt idx="1">
                  <c:v>5800000</c:v>
                </c:pt>
                <c:pt idx="2">
                  <c:v>17300000</c:v>
                </c:pt>
                <c:pt idx="3">
                  <c:v>23700000</c:v>
                </c:pt>
                <c:pt idx="4">
                  <c:v>23500000</c:v>
                </c:pt>
                <c:pt idx="5">
                  <c:v>36300000</c:v>
                </c:pt>
                <c:pt idx="6">
                  <c:v>36400000</c:v>
                </c:pt>
                <c:pt idx="7">
                  <c:v>47400000</c:v>
                </c:pt>
                <c:pt idx="8">
                  <c:v>50000000</c:v>
                </c:pt>
                <c:pt idx="9">
                  <c:v>35300000</c:v>
                </c:pt>
                <c:pt idx="10">
                  <c:v>0</c:v>
                </c:pt>
                <c:pt idx="11">
                  <c:v>3800000</c:v>
                </c:pt>
                <c:pt idx="12">
                  <c:v>3200000</c:v>
                </c:pt>
                <c:pt idx="13">
                  <c:v>9400000</c:v>
                </c:pt>
                <c:pt idx="14">
                  <c:v>9800000</c:v>
                </c:pt>
                <c:pt idx="15">
                  <c:v>24500000</c:v>
                </c:pt>
                <c:pt idx="16">
                  <c:v>36100000</c:v>
                </c:pt>
                <c:pt idx="17">
                  <c:v>43700000</c:v>
                </c:pt>
                <c:pt idx="18">
                  <c:v>49400000</c:v>
                </c:pt>
                <c:pt idx="19">
                  <c:v>21700000</c:v>
                </c:pt>
                <c:pt idx="20">
                  <c:v>36700000</c:v>
                </c:pt>
                <c:pt idx="21">
                  <c:v>47700000</c:v>
                </c:pt>
                <c:pt idx="22">
                  <c:v>47400000</c:v>
                </c:pt>
                <c:pt idx="23">
                  <c:v>49800000</c:v>
                </c:pt>
                <c:pt idx="24">
                  <c:v>50000000</c:v>
                </c:pt>
                <c:pt idx="25">
                  <c:v>14500000</c:v>
                </c:pt>
                <c:pt idx="26">
                  <c:v>15500000</c:v>
                </c:pt>
                <c:pt idx="27">
                  <c:v>18200000</c:v>
                </c:pt>
                <c:pt idx="28">
                  <c:v>20200000</c:v>
                </c:pt>
                <c:pt idx="29">
                  <c:v>23300000</c:v>
                </c:pt>
                <c:pt idx="30">
                  <c:v>24300000</c:v>
                </c:pt>
                <c:pt idx="31">
                  <c:v>37600000</c:v>
                </c:pt>
                <c:pt idx="32">
                  <c:v>39900000</c:v>
                </c:pt>
                <c:pt idx="33">
                  <c:v>45800000</c:v>
                </c:pt>
                <c:pt idx="34">
                  <c:v>44300000</c:v>
                </c:pt>
                <c:pt idx="35">
                  <c:v>46900000</c:v>
                </c:pt>
                <c:pt idx="36">
                  <c:v>50000000</c:v>
                </c:pt>
                <c:pt idx="37">
                  <c:v>33200000</c:v>
                </c:pt>
                <c:pt idx="38">
                  <c:v>38900000</c:v>
                </c:pt>
                <c:pt idx="39">
                  <c:v>39400000</c:v>
                </c:pt>
                <c:pt idx="40">
                  <c:v>49000000</c:v>
                </c:pt>
                <c:pt idx="41">
                  <c:v>49600000</c:v>
                </c:pt>
                <c:pt idx="42">
                  <c:v>45600000</c:v>
                </c:pt>
                <c:pt idx="43">
                  <c:v>20100000</c:v>
                </c:pt>
                <c:pt idx="44">
                  <c:v>22200000</c:v>
                </c:pt>
                <c:pt idx="45">
                  <c:v>22800000</c:v>
                </c:pt>
                <c:pt idx="46">
                  <c:v>30100000</c:v>
                </c:pt>
                <c:pt idx="47">
                  <c:v>30600000</c:v>
                </c:pt>
              </c:numCache>
            </c:numRef>
          </c:val>
          <c:smooth val="1"/>
        </c:ser>
        <c:dLbls>
          <c:showLegendKey val="0"/>
          <c:showVal val="0"/>
          <c:showCatName val="0"/>
          <c:showSerName val="0"/>
          <c:showPercent val="0"/>
          <c:showBubbleSize val="0"/>
        </c:dLbls>
        <c:smooth val="0"/>
        <c:axId val="164354688"/>
        <c:axId val="164355072"/>
      </c:lineChart>
      <c:dateAx>
        <c:axId val="164354688"/>
        <c:scaling>
          <c:orientation val="minMax"/>
        </c:scaling>
        <c:delete val="1"/>
        <c:axPos val="b"/>
        <c:numFmt formatCode="m/d/yy" sourceLinked="1"/>
        <c:majorTickMark val="none"/>
        <c:minorTickMark val="cross"/>
        <c:tickLblPos val="nextTo"/>
        <c:crossAx val="164355072"/>
        <c:crosses val="autoZero"/>
        <c:auto val="1"/>
        <c:lblOffset val="100"/>
        <c:baseTimeUnit val="days"/>
      </c:dateAx>
      <c:valAx>
        <c:axId val="164355072"/>
        <c:scaling>
          <c:orientation val="minMax"/>
          <c:max val="50000000"/>
          <c:min val="0"/>
        </c:scaling>
        <c:delete val="1"/>
        <c:axPos val="l"/>
        <c:majorGridlines/>
        <c:numFmt formatCode="&quot;$&quot;#,##0" sourceLinked="0"/>
        <c:majorTickMark val="none"/>
        <c:minorTickMark val="cross"/>
        <c:tickLblPos val="nextTo"/>
        <c:crossAx val="164354688"/>
        <c:crosses val="autoZero"/>
        <c:crossBetween val="between"/>
        <c:dispUnits>
          <c:builtInUnit val="millions"/>
          <c:dispUnitsLbl>
            <c:layout/>
          </c:dispUnitsLbl>
        </c:dispUnits>
      </c:valAx>
    </c:plotArea>
    <c:legend>
      <c:legendPos val="b"/>
      <c:layout/>
      <c:overlay val="1"/>
      <c:txPr>
        <a:bodyPr/>
        <a:lstStyle/>
        <a:p>
          <a:pPr rtl="0">
            <a:defRPr/>
          </a:pPr>
          <a:endParaRPr lang="en-U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a:t>Intercompany Loan Balance 2013</a:t>
            </a:r>
          </a:p>
        </c:rich>
      </c:tx>
      <c:layout/>
      <c:overlay val="1"/>
    </c:title>
    <c:autoTitleDeleted val="0"/>
    <c:plotArea>
      <c:layout>
        <c:manualLayout>
          <c:layoutTarget val="inner"/>
          <c:xMode val="edge"/>
          <c:yMode val="edge"/>
          <c:x val="0.13108573928258968"/>
          <c:y val="0.19480351414406533"/>
          <c:w val="0.81571391076115451"/>
          <c:h val="0.4694149168853895"/>
        </c:manualLayout>
      </c:layout>
      <c:lineChart>
        <c:grouping val="standard"/>
        <c:varyColors val="1"/>
        <c:ser>
          <c:idx val="0"/>
          <c:order val="0"/>
          <c:tx>
            <c:strRef>
              <c:f>'QGC-B'!$M$3</c:f>
              <c:strCache>
                <c:ptCount val="1"/>
                <c:pt idx="0">
                  <c:v>Outstanding Balance</c:v>
                </c:pt>
              </c:strCache>
            </c:strRef>
          </c:tx>
          <c:marker>
            <c:symbol val="none"/>
          </c:marker>
          <c:cat>
            <c:numRef>
              <c:f>'QGC-B'!$B$4:$B$250</c:f>
              <c:numCache>
                <c:formatCode>m/d/yy</c:formatCode>
                <c:ptCount val="247"/>
                <c:pt idx="0">
                  <c:v>41274</c:v>
                </c:pt>
                <c:pt idx="1">
                  <c:v>41276</c:v>
                </c:pt>
                <c:pt idx="2">
                  <c:v>41277</c:v>
                </c:pt>
                <c:pt idx="3">
                  <c:v>41278</c:v>
                </c:pt>
                <c:pt idx="4">
                  <c:v>41281</c:v>
                </c:pt>
                <c:pt idx="5">
                  <c:v>41282</c:v>
                </c:pt>
                <c:pt idx="6">
                  <c:v>41283</c:v>
                </c:pt>
                <c:pt idx="7">
                  <c:v>41284</c:v>
                </c:pt>
                <c:pt idx="8">
                  <c:v>41285</c:v>
                </c:pt>
                <c:pt idx="9">
                  <c:v>41288</c:v>
                </c:pt>
                <c:pt idx="10">
                  <c:v>41289</c:v>
                </c:pt>
                <c:pt idx="11">
                  <c:v>41290</c:v>
                </c:pt>
                <c:pt idx="12">
                  <c:v>41291</c:v>
                </c:pt>
                <c:pt idx="13">
                  <c:v>41292</c:v>
                </c:pt>
                <c:pt idx="14">
                  <c:v>41296</c:v>
                </c:pt>
                <c:pt idx="15">
                  <c:v>41297</c:v>
                </c:pt>
                <c:pt idx="16">
                  <c:v>41298</c:v>
                </c:pt>
                <c:pt idx="17">
                  <c:v>41299</c:v>
                </c:pt>
                <c:pt idx="18">
                  <c:v>41302</c:v>
                </c:pt>
                <c:pt idx="19">
                  <c:v>41303</c:v>
                </c:pt>
                <c:pt idx="20">
                  <c:v>41304</c:v>
                </c:pt>
                <c:pt idx="21">
                  <c:v>41305</c:v>
                </c:pt>
                <c:pt idx="22">
                  <c:v>41306</c:v>
                </c:pt>
                <c:pt idx="23">
                  <c:v>41309</c:v>
                </c:pt>
                <c:pt idx="24">
                  <c:v>41310</c:v>
                </c:pt>
                <c:pt idx="25">
                  <c:v>41311</c:v>
                </c:pt>
                <c:pt idx="26">
                  <c:v>41312</c:v>
                </c:pt>
                <c:pt idx="27">
                  <c:v>41313</c:v>
                </c:pt>
                <c:pt idx="28">
                  <c:v>41316</c:v>
                </c:pt>
                <c:pt idx="29">
                  <c:v>41317</c:v>
                </c:pt>
                <c:pt idx="30">
                  <c:v>41318</c:v>
                </c:pt>
                <c:pt idx="31">
                  <c:v>41319</c:v>
                </c:pt>
                <c:pt idx="32">
                  <c:v>41320</c:v>
                </c:pt>
                <c:pt idx="33">
                  <c:v>41324</c:v>
                </c:pt>
                <c:pt idx="34">
                  <c:v>41325</c:v>
                </c:pt>
                <c:pt idx="35">
                  <c:v>41326</c:v>
                </c:pt>
                <c:pt idx="36">
                  <c:v>41327</c:v>
                </c:pt>
                <c:pt idx="37">
                  <c:v>41330</c:v>
                </c:pt>
                <c:pt idx="38">
                  <c:v>41331</c:v>
                </c:pt>
                <c:pt idx="39">
                  <c:v>41332</c:v>
                </c:pt>
                <c:pt idx="40">
                  <c:v>41333</c:v>
                </c:pt>
                <c:pt idx="41">
                  <c:v>41334</c:v>
                </c:pt>
                <c:pt idx="42">
                  <c:v>41337</c:v>
                </c:pt>
                <c:pt idx="43">
                  <c:v>41338</c:v>
                </c:pt>
                <c:pt idx="44">
                  <c:v>41339</c:v>
                </c:pt>
                <c:pt idx="45">
                  <c:v>41340</c:v>
                </c:pt>
                <c:pt idx="46">
                  <c:v>41341</c:v>
                </c:pt>
                <c:pt idx="47">
                  <c:v>41344</c:v>
                </c:pt>
                <c:pt idx="48">
                  <c:v>41345</c:v>
                </c:pt>
                <c:pt idx="49">
                  <c:v>41346</c:v>
                </c:pt>
                <c:pt idx="50">
                  <c:v>41347</c:v>
                </c:pt>
                <c:pt idx="51">
                  <c:v>41348</c:v>
                </c:pt>
                <c:pt idx="52">
                  <c:v>41351</c:v>
                </c:pt>
                <c:pt idx="53">
                  <c:v>41352</c:v>
                </c:pt>
                <c:pt idx="54">
                  <c:v>41353</c:v>
                </c:pt>
                <c:pt idx="55">
                  <c:v>41354</c:v>
                </c:pt>
                <c:pt idx="56">
                  <c:v>41355</c:v>
                </c:pt>
                <c:pt idx="57">
                  <c:v>41358</c:v>
                </c:pt>
                <c:pt idx="58">
                  <c:v>41359</c:v>
                </c:pt>
                <c:pt idx="59">
                  <c:v>41360</c:v>
                </c:pt>
                <c:pt idx="60">
                  <c:v>41361</c:v>
                </c:pt>
                <c:pt idx="61">
                  <c:v>41362</c:v>
                </c:pt>
                <c:pt idx="62">
                  <c:v>41365</c:v>
                </c:pt>
                <c:pt idx="63">
                  <c:v>41366</c:v>
                </c:pt>
                <c:pt idx="64">
                  <c:v>41367</c:v>
                </c:pt>
                <c:pt idx="65">
                  <c:v>41368</c:v>
                </c:pt>
                <c:pt idx="66">
                  <c:v>41369</c:v>
                </c:pt>
                <c:pt idx="67">
                  <c:v>41372</c:v>
                </c:pt>
                <c:pt idx="68">
                  <c:v>41373</c:v>
                </c:pt>
                <c:pt idx="69">
                  <c:v>41374</c:v>
                </c:pt>
                <c:pt idx="70">
                  <c:v>41375</c:v>
                </c:pt>
                <c:pt idx="71">
                  <c:v>41376</c:v>
                </c:pt>
                <c:pt idx="72">
                  <c:v>41379</c:v>
                </c:pt>
                <c:pt idx="73">
                  <c:v>41380</c:v>
                </c:pt>
                <c:pt idx="74">
                  <c:v>41381</c:v>
                </c:pt>
                <c:pt idx="75">
                  <c:v>41382</c:v>
                </c:pt>
                <c:pt idx="76">
                  <c:v>41383</c:v>
                </c:pt>
                <c:pt idx="77">
                  <c:v>41386</c:v>
                </c:pt>
                <c:pt idx="78">
                  <c:v>41387</c:v>
                </c:pt>
                <c:pt idx="79">
                  <c:v>41388</c:v>
                </c:pt>
                <c:pt idx="80">
                  <c:v>41389</c:v>
                </c:pt>
                <c:pt idx="81">
                  <c:v>41390</c:v>
                </c:pt>
                <c:pt idx="82">
                  <c:v>41393</c:v>
                </c:pt>
                <c:pt idx="83">
                  <c:v>41394</c:v>
                </c:pt>
                <c:pt idx="84">
                  <c:v>41395</c:v>
                </c:pt>
                <c:pt idx="85">
                  <c:v>41396</c:v>
                </c:pt>
                <c:pt idx="86">
                  <c:v>41397</c:v>
                </c:pt>
                <c:pt idx="87">
                  <c:v>41400</c:v>
                </c:pt>
                <c:pt idx="88">
                  <c:v>41401</c:v>
                </c:pt>
                <c:pt idx="89">
                  <c:v>41402</c:v>
                </c:pt>
                <c:pt idx="90">
                  <c:v>41403</c:v>
                </c:pt>
                <c:pt idx="91">
                  <c:v>41404</c:v>
                </c:pt>
                <c:pt idx="92">
                  <c:v>41407</c:v>
                </c:pt>
                <c:pt idx="93">
                  <c:v>41408</c:v>
                </c:pt>
                <c:pt idx="94">
                  <c:v>41409</c:v>
                </c:pt>
                <c:pt idx="95">
                  <c:v>41410</c:v>
                </c:pt>
                <c:pt idx="96">
                  <c:v>41411</c:v>
                </c:pt>
                <c:pt idx="97">
                  <c:v>41414</c:v>
                </c:pt>
                <c:pt idx="98">
                  <c:v>41415</c:v>
                </c:pt>
                <c:pt idx="99">
                  <c:v>41416</c:v>
                </c:pt>
                <c:pt idx="100">
                  <c:v>41417</c:v>
                </c:pt>
                <c:pt idx="101">
                  <c:v>41418</c:v>
                </c:pt>
                <c:pt idx="102">
                  <c:v>41422</c:v>
                </c:pt>
                <c:pt idx="103">
                  <c:v>41423</c:v>
                </c:pt>
                <c:pt idx="104">
                  <c:v>41424</c:v>
                </c:pt>
                <c:pt idx="105">
                  <c:v>41425</c:v>
                </c:pt>
                <c:pt idx="106">
                  <c:v>41428</c:v>
                </c:pt>
                <c:pt idx="107">
                  <c:v>41429</c:v>
                </c:pt>
                <c:pt idx="108">
                  <c:v>41430</c:v>
                </c:pt>
                <c:pt idx="109">
                  <c:v>41431</c:v>
                </c:pt>
                <c:pt idx="110">
                  <c:v>41432</c:v>
                </c:pt>
                <c:pt idx="111">
                  <c:v>41435</c:v>
                </c:pt>
                <c:pt idx="112">
                  <c:v>41436</c:v>
                </c:pt>
                <c:pt idx="113">
                  <c:v>41437</c:v>
                </c:pt>
                <c:pt idx="114">
                  <c:v>41438</c:v>
                </c:pt>
                <c:pt idx="115">
                  <c:v>41439</c:v>
                </c:pt>
                <c:pt idx="116">
                  <c:v>41442</c:v>
                </c:pt>
                <c:pt idx="117">
                  <c:v>41443</c:v>
                </c:pt>
                <c:pt idx="118">
                  <c:v>41444</c:v>
                </c:pt>
                <c:pt idx="119">
                  <c:v>41445</c:v>
                </c:pt>
                <c:pt idx="120">
                  <c:v>41446</c:v>
                </c:pt>
                <c:pt idx="121">
                  <c:v>41449</c:v>
                </c:pt>
                <c:pt idx="122">
                  <c:v>41450</c:v>
                </c:pt>
                <c:pt idx="123">
                  <c:v>41451</c:v>
                </c:pt>
                <c:pt idx="124">
                  <c:v>41452</c:v>
                </c:pt>
                <c:pt idx="125">
                  <c:v>41453</c:v>
                </c:pt>
                <c:pt idx="126">
                  <c:v>41456</c:v>
                </c:pt>
                <c:pt idx="127">
                  <c:v>41457</c:v>
                </c:pt>
                <c:pt idx="128">
                  <c:v>41458</c:v>
                </c:pt>
                <c:pt idx="129">
                  <c:v>41460</c:v>
                </c:pt>
                <c:pt idx="130">
                  <c:v>41463</c:v>
                </c:pt>
                <c:pt idx="131">
                  <c:v>41464</c:v>
                </c:pt>
                <c:pt idx="132">
                  <c:v>41466</c:v>
                </c:pt>
                <c:pt idx="133">
                  <c:v>41467</c:v>
                </c:pt>
                <c:pt idx="134">
                  <c:v>41470</c:v>
                </c:pt>
                <c:pt idx="135">
                  <c:v>41471</c:v>
                </c:pt>
                <c:pt idx="136">
                  <c:v>41472</c:v>
                </c:pt>
                <c:pt idx="137">
                  <c:v>41473</c:v>
                </c:pt>
                <c:pt idx="138">
                  <c:v>41474</c:v>
                </c:pt>
                <c:pt idx="139">
                  <c:v>41477</c:v>
                </c:pt>
                <c:pt idx="140">
                  <c:v>41478</c:v>
                </c:pt>
                <c:pt idx="141">
                  <c:v>41480</c:v>
                </c:pt>
                <c:pt idx="142">
                  <c:v>41481</c:v>
                </c:pt>
                <c:pt idx="143">
                  <c:v>41484</c:v>
                </c:pt>
                <c:pt idx="144">
                  <c:v>41485</c:v>
                </c:pt>
                <c:pt idx="145">
                  <c:v>41486</c:v>
                </c:pt>
                <c:pt idx="146">
                  <c:v>41487</c:v>
                </c:pt>
                <c:pt idx="147">
                  <c:v>41488</c:v>
                </c:pt>
                <c:pt idx="148">
                  <c:v>41491</c:v>
                </c:pt>
                <c:pt idx="149">
                  <c:v>41492</c:v>
                </c:pt>
                <c:pt idx="150">
                  <c:v>41493</c:v>
                </c:pt>
                <c:pt idx="151">
                  <c:v>41494</c:v>
                </c:pt>
                <c:pt idx="152">
                  <c:v>41495</c:v>
                </c:pt>
                <c:pt idx="153">
                  <c:v>41498</c:v>
                </c:pt>
                <c:pt idx="154">
                  <c:v>41499</c:v>
                </c:pt>
                <c:pt idx="155">
                  <c:v>41500</c:v>
                </c:pt>
                <c:pt idx="156">
                  <c:v>41501</c:v>
                </c:pt>
                <c:pt idx="157">
                  <c:v>41502</c:v>
                </c:pt>
                <c:pt idx="158">
                  <c:v>41505</c:v>
                </c:pt>
                <c:pt idx="159">
                  <c:v>41506</c:v>
                </c:pt>
                <c:pt idx="160">
                  <c:v>41507</c:v>
                </c:pt>
                <c:pt idx="161">
                  <c:v>41508</c:v>
                </c:pt>
                <c:pt idx="162">
                  <c:v>41509</c:v>
                </c:pt>
                <c:pt idx="163">
                  <c:v>41512</c:v>
                </c:pt>
                <c:pt idx="164">
                  <c:v>41513</c:v>
                </c:pt>
                <c:pt idx="165">
                  <c:v>41514</c:v>
                </c:pt>
                <c:pt idx="166">
                  <c:v>41515</c:v>
                </c:pt>
                <c:pt idx="167">
                  <c:v>41516</c:v>
                </c:pt>
                <c:pt idx="168">
                  <c:v>41520</c:v>
                </c:pt>
                <c:pt idx="169">
                  <c:v>41521</c:v>
                </c:pt>
                <c:pt idx="170">
                  <c:v>41522</c:v>
                </c:pt>
                <c:pt idx="171">
                  <c:v>41523</c:v>
                </c:pt>
                <c:pt idx="172">
                  <c:v>41526</c:v>
                </c:pt>
                <c:pt idx="173">
                  <c:v>41527</c:v>
                </c:pt>
                <c:pt idx="174">
                  <c:v>41528</c:v>
                </c:pt>
                <c:pt idx="175">
                  <c:v>41529</c:v>
                </c:pt>
                <c:pt idx="176">
                  <c:v>41530</c:v>
                </c:pt>
                <c:pt idx="177">
                  <c:v>41533</c:v>
                </c:pt>
                <c:pt idx="178">
                  <c:v>41535</c:v>
                </c:pt>
                <c:pt idx="179">
                  <c:v>41536</c:v>
                </c:pt>
                <c:pt idx="180">
                  <c:v>41537</c:v>
                </c:pt>
                <c:pt idx="181">
                  <c:v>41540</c:v>
                </c:pt>
                <c:pt idx="182">
                  <c:v>41541</c:v>
                </c:pt>
                <c:pt idx="183">
                  <c:v>41542</c:v>
                </c:pt>
                <c:pt idx="184">
                  <c:v>41543</c:v>
                </c:pt>
                <c:pt idx="185">
                  <c:v>41544</c:v>
                </c:pt>
                <c:pt idx="186">
                  <c:v>41547</c:v>
                </c:pt>
                <c:pt idx="187">
                  <c:v>41548</c:v>
                </c:pt>
                <c:pt idx="188">
                  <c:v>41549</c:v>
                </c:pt>
                <c:pt idx="189">
                  <c:v>41550</c:v>
                </c:pt>
                <c:pt idx="190">
                  <c:v>41551</c:v>
                </c:pt>
                <c:pt idx="191">
                  <c:v>41554</c:v>
                </c:pt>
                <c:pt idx="192">
                  <c:v>41556</c:v>
                </c:pt>
                <c:pt idx="193">
                  <c:v>41557</c:v>
                </c:pt>
                <c:pt idx="194">
                  <c:v>41558</c:v>
                </c:pt>
                <c:pt idx="195">
                  <c:v>41562</c:v>
                </c:pt>
                <c:pt idx="196">
                  <c:v>41563</c:v>
                </c:pt>
                <c:pt idx="197">
                  <c:v>41564</c:v>
                </c:pt>
                <c:pt idx="198">
                  <c:v>41565</c:v>
                </c:pt>
                <c:pt idx="199">
                  <c:v>41568</c:v>
                </c:pt>
                <c:pt idx="200">
                  <c:v>41569</c:v>
                </c:pt>
                <c:pt idx="201">
                  <c:v>41570</c:v>
                </c:pt>
                <c:pt idx="202">
                  <c:v>41571</c:v>
                </c:pt>
                <c:pt idx="203">
                  <c:v>41572</c:v>
                </c:pt>
                <c:pt idx="204">
                  <c:v>41575</c:v>
                </c:pt>
                <c:pt idx="205">
                  <c:v>41577</c:v>
                </c:pt>
                <c:pt idx="206">
                  <c:v>41579</c:v>
                </c:pt>
                <c:pt idx="207">
                  <c:v>41582</c:v>
                </c:pt>
                <c:pt idx="208">
                  <c:v>41583</c:v>
                </c:pt>
                <c:pt idx="209">
                  <c:v>41584</c:v>
                </c:pt>
                <c:pt idx="210">
                  <c:v>41585</c:v>
                </c:pt>
                <c:pt idx="211">
                  <c:v>41586</c:v>
                </c:pt>
                <c:pt idx="212">
                  <c:v>41590</c:v>
                </c:pt>
                <c:pt idx="213">
                  <c:v>41591</c:v>
                </c:pt>
                <c:pt idx="214">
                  <c:v>41592</c:v>
                </c:pt>
                <c:pt idx="215">
                  <c:v>41593</c:v>
                </c:pt>
                <c:pt idx="216">
                  <c:v>41596</c:v>
                </c:pt>
                <c:pt idx="217">
                  <c:v>41597</c:v>
                </c:pt>
                <c:pt idx="218">
                  <c:v>41598</c:v>
                </c:pt>
                <c:pt idx="219">
                  <c:v>41599</c:v>
                </c:pt>
                <c:pt idx="220">
                  <c:v>41600</c:v>
                </c:pt>
                <c:pt idx="221">
                  <c:v>41603</c:v>
                </c:pt>
                <c:pt idx="222">
                  <c:v>41604</c:v>
                </c:pt>
                <c:pt idx="223">
                  <c:v>41605</c:v>
                </c:pt>
                <c:pt idx="224">
                  <c:v>41607</c:v>
                </c:pt>
                <c:pt idx="225">
                  <c:v>41610</c:v>
                </c:pt>
                <c:pt idx="226">
                  <c:v>41611</c:v>
                </c:pt>
                <c:pt idx="227">
                  <c:v>41612</c:v>
                </c:pt>
                <c:pt idx="228">
                  <c:v>41613</c:v>
                </c:pt>
                <c:pt idx="229">
                  <c:v>41614</c:v>
                </c:pt>
                <c:pt idx="230">
                  <c:v>41617</c:v>
                </c:pt>
                <c:pt idx="231">
                  <c:v>41618</c:v>
                </c:pt>
                <c:pt idx="232">
                  <c:v>41619</c:v>
                </c:pt>
                <c:pt idx="233">
                  <c:v>41620</c:v>
                </c:pt>
                <c:pt idx="234">
                  <c:v>41621</c:v>
                </c:pt>
                <c:pt idx="235">
                  <c:v>41624</c:v>
                </c:pt>
                <c:pt idx="236">
                  <c:v>41625</c:v>
                </c:pt>
                <c:pt idx="237">
                  <c:v>41626</c:v>
                </c:pt>
                <c:pt idx="238">
                  <c:v>41627</c:v>
                </c:pt>
                <c:pt idx="239">
                  <c:v>41627</c:v>
                </c:pt>
                <c:pt idx="240">
                  <c:v>41628</c:v>
                </c:pt>
                <c:pt idx="241">
                  <c:v>41631</c:v>
                </c:pt>
                <c:pt idx="242">
                  <c:v>41632</c:v>
                </c:pt>
                <c:pt idx="243">
                  <c:v>41634</c:v>
                </c:pt>
                <c:pt idx="244">
                  <c:v>41635</c:v>
                </c:pt>
                <c:pt idx="245">
                  <c:v>41638</c:v>
                </c:pt>
                <c:pt idx="246">
                  <c:v>41639</c:v>
                </c:pt>
              </c:numCache>
            </c:numRef>
          </c:cat>
          <c:val>
            <c:numRef>
              <c:f>'QGC-B'!$M$4:$M$250</c:f>
              <c:numCache>
                <c:formatCode>#,##0</c:formatCode>
                <c:ptCount val="247"/>
                <c:pt idx="0">
                  <c:v>166100000</c:v>
                </c:pt>
                <c:pt idx="1">
                  <c:v>157100000</c:v>
                </c:pt>
                <c:pt idx="2">
                  <c:v>153000000</c:v>
                </c:pt>
                <c:pt idx="3">
                  <c:v>150200000</c:v>
                </c:pt>
                <c:pt idx="4">
                  <c:v>145000000</c:v>
                </c:pt>
                <c:pt idx="5">
                  <c:v>140000000</c:v>
                </c:pt>
                <c:pt idx="6">
                  <c:v>137300000</c:v>
                </c:pt>
                <c:pt idx="7">
                  <c:v>133400000</c:v>
                </c:pt>
                <c:pt idx="8">
                  <c:v>132300000</c:v>
                </c:pt>
                <c:pt idx="9">
                  <c:v>127400000</c:v>
                </c:pt>
                <c:pt idx="10">
                  <c:v>122300000</c:v>
                </c:pt>
                <c:pt idx="11">
                  <c:v>118200000</c:v>
                </c:pt>
                <c:pt idx="12">
                  <c:v>114300000</c:v>
                </c:pt>
                <c:pt idx="13">
                  <c:v>112500000</c:v>
                </c:pt>
                <c:pt idx="14">
                  <c:v>105600000</c:v>
                </c:pt>
                <c:pt idx="15">
                  <c:v>101600000</c:v>
                </c:pt>
                <c:pt idx="16">
                  <c:v>145000000</c:v>
                </c:pt>
                <c:pt idx="17">
                  <c:v>161600000</c:v>
                </c:pt>
                <c:pt idx="18">
                  <c:v>187600000</c:v>
                </c:pt>
                <c:pt idx="19">
                  <c:v>167800000</c:v>
                </c:pt>
                <c:pt idx="20">
                  <c:v>164100000</c:v>
                </c:pt>
                <c:pt idx="21">
                  <c:v>165400000</c:v>
                </c:pt>
                <c:pt idx="22">
                  <c:v>160100000</c:v>
                </c:pt>
                <c:pt idx="23">
                  <c:v>152200000</c:v>
                </c:pt>
                <c:pt idx="24">
                  <c:v>142600000</c:v>
                </c:pt>
                <c:pt idx="25">
                  <c:v>138100000</c:v>
                </c:pt>
                <c:pt idx="26">
                  <c:v>134000000</c:v>
                </c:pt>
                <c:pt idx="27">
                  <c:v>128100000</c:v>
                </c:pt>
                <c:pt idx="28">
                  <c:v>120600000</c:v>
                </c:pt>
                <c:pt idx="29">
                  <c:v>111600000</c:v>
                </c:pt>
                <c:pt idx="30">
                  <c:v>106000000</c:v>
                </c:pt>
                <c:pt idx="31">
                  <c:v>100000000</c:v>
                </c:pt>
                <c:pt idx="32">
                  <c:v>94700000</c:v>
                </c:pt>
                <c:pt idx="33">
                  <c:v>87100000</c:v>
                </c:pt>
                <c:pt idx="34">
                  <c:v>78600000</c:v>
                </c:pt>
                <c:pt idx="35">
                  <c:v>105200000</c:v>
                </c:pt>
                <c:pt idx="36">
                  <c:v>108500000</c:v>
                </c:pt>
                <c:pt idx="37">
                  <c:v>175900000</c:v>
                </c:pt>
                <c:pt idx="38">
                  <c:v>165900000</c:v>
                </c:pt>
                <c:pt idx="39">
                  <c:v>160800000</c:v>
                </c:pt>
                <c:pt idx="40">
                  <c:v>160700000</c:v>
                </c:pt>
                <c:pt idx="41">
                  <c:v>153200000</c:v>
                </c:pt>
                <c:pt idx="42">
                  <c:v>143600000</c:v>
                </c:pt>
                <c:pt idx="43">
                  <c:v>134200000</c:v>
                </c:pt>
                <c:pt idx="44">
                  <c:v>132400000</c:v>
                </c:pt>
                <c:pt idx="45">
                  <c:v>127100000</c:v>
                </c:pt>
                <c:pt idx="46">
                  <c:v>123100000</c:v>
                </c:pt>
                <c:pt idx="47">
                  <c:v>115700000</c:v>
                </c:pt>
                <c:pt idx="48">
                  <c:v>107000000</c:v>
                </c:pt>
                <c:pt idx="49">
                  <c:v>101800000</c:v>
                </c:pt>
                <c:pt idx="50">
                  <c:v>97000000</c:v>
                </c:pt>
                <c:pt idx="51">
                  <c:v>93500000</c:v>
                </c:pt>
                <c:pt idx="52">
                  <c:v>96600000</c:v>
                </c:pt>
                <c:pt idx="53">
                  <c:v>95600000</c:v>
                </c:pt>
                <c:pt idx="54">
                  <c:v>118400000</c:v>
                </c:pt>
                <c:pt idx="55">
                  <c:v>116000000</c:v>
                </c:pt>
                <c:pt idx="56">
                  <c:v>119400000</c:v>
                </c:pt>
                <c:pt idx="57">
                  <c:v>148900000</c:v>
                </c:pt>
                <c:pt idx="58">
                  <c:v>144800000</c:v>
                </c:pt>
                <c:pt idx="59">
                  <c:v>139900000</c:v>
                </c:pt>
                <c:pt idx="60">
                  <c:v>135000000</c:v>
                </c:pt>
                <c:pt idx="61">
                  <c:v>132300000</c:v>
                </c:pt>
                <c:pt idx="62">
                  <c:v>139800000</c:v>
                </c:pt>
                <c:pt idx="63">
                  <c:v>133600000</c:v>
                </c:pt>
                <c:pt idx="64">
                  <c:v>128300000</c:v>
                </c:pt>
                <c:pt idx="65">
                  <c:v>124500000</c:v>
                </c:pt>
                <c:pt idx="66">
                  <c:v>120300000</c:v>
                </c:pt>
                <c:pt idx="67">
                  <c:v>115200000</c:v>
                </c:pt>
                <c:pt idx="68">
                  <c:v>110700000</c:v>
                </c:pt>
                <c:pt idx="69">
                  <c:v>106900000</c:v>
                </c:pt>
                <c:pt idx="70">
                  <c:v>102700000</c:v>
                </c:pt>
                <c:pt idx="71">
                  <c:v>98700000</c:v>
                </c:pt>
                <c:pt idx="72">
                  <c:v>93300000</c:v>
                </c:pt>
                <c:pt idx="73">
                  <c:v>89100000</c:v>
                </c:pt>
                <c:pt idx="74">
                  <c:v>85500000</c:v>
                </c:pt>
                <c:pt idx="75">
                  <c:v>107100000</c:v>
                </c:pt>
                <c:pt idx="76">
                  <c:v>106100000</c:v>
                </c:pt>
                <c:pt idx="77">
                  <c:v>108800000</c:v>
                </c:pt>
                <c:pt idx="78">
                  <c:v>104700000</c:v>
                </c:pt>
                <c:pt idx="79">
                  <c:v>100900000</c:v>
                </c:pt>
                <c:pt idx="80">
                  <c:v>121800000</c:v>
                </c:pt>
                <c:pt idx="81">
                  <c:v>118400000</c:v>
                </c:pt>
                <c:pt idx="82">
                  <c:v>114000000</c:v>
                </c:pt>
                <c:pt idx="83">
                  <c:v>116700000</c:v>
                </c:pt>
                <c:pt idx="84">
                  <c:v>115400000</c:v>
                </c:pt>
                <c:pt idx="85">
                  <c:v>112300000</c:v>
                </c:pt>
                <c:pt idx="86">
                  <c:v>111500000</c:v>
                </c:pt>
                <c:pt idx="87">
                  <c:v>110000000</c:v>
                </c:pt>
                <c:pt idx="88">
                  <c:v>106200000</c:v>
                </c:pt>
                <c:pt idx="89">
                  <c:v>102300000</c:v>
                </c:pt>
                <c:pt idx="90">
                  <c:v>101900000</c:v>
                </c:pt>
                <c:pt idx="91">
                  <c:v>99300000</c:v>
                </c:pt>
                <c:pt idx="92">
                  <c:v>95600000</c:v>
                </c:pt>
                <c:pt idx="93">
                  <c:v>93200000</c:v>
                </c:pt>
                <c:pt idx="94">
                  <c:v>90300000</c:v>
                </c:pt>
                <c:pt idx="95">
                  <c:v>88000000</c:v>
                </c:pt>
                <c:pt idx="96">
                  <c:v>87400000</c:v>
                </c:pt>
                <c:pt idx="97">
                  <c:v>112400000</c:v>
                </c:pt>
                <c:pt idx="98">
                  <c:v>110700000</c:v>
                </c:pt>
                <c:pt idx="99">
                  <c:v>109700000</c:v>
                </c:pt>
                <c:pt idx="100">
                  <c:v>113700000</c:v>
                </c:pt>
                <c:pt idx="101">
                  <c:v>127900000</c:v>
                </c:pt>
                <c:pt idx="102">
                  <c:v>122400000</c:v>
                </c:pt>
                <c:pt idx="103">
                  <c:v>117400000</c:v>
                </c:pt>
                <c:pt idx="104">
                  <c:v>113600000</c:v>
                </c:pt>
                <c:pt idx="105">
                  <c:v>113800000</c:v>
                </c:pt>
                <c:pt idx="106">
                  <c:v>112500000</c:v>
                </c:pt>
                <c:pt idx="107">
                  <c:v>109200000</c:v>
                </c:pt>
                <c:pt idx="108">
                  <c:v>106600000</c:v>
                </c:pt>
                <c:pt idx="109">
                  <c:v>106400000</c:v>
                </c:pt>
                <c:pt idx="110">
                  <c:v>107400000</c:v>
                </c:pt>
                <c:pt idx="111">
                  <c:v>114100000</c:v>
                </c:pt>
                <c:pt idx="112">
                  <c:v>113000000</c:v>
                </c:pt>
                <c:pt idx="113">
                  <c:v>111400000</c:v>
                </c:pt>
                <c:pt idx="114">
                  <c:v>111100000</c:v>
                </c:pt>
                <c:pt idx="115">
                  <c:v>110200000</c:v>
                </c:pt>
                <c:pt idx="116">
                  <c:v>135600000</c:v>
                </c:pt>
                <c:pt idx="117">
                  <c:v>134800000</c:v>
                </c:pt>
                <c:pt idx="118">
                  <c:v>133800000</c:v>
                </c:pt>
                <c:pt idx="119">
                  <c:v>133500000</c:v>
                </c:pt>
                <c:pt idx="120">
                  <c:v>132300000</c:v>
                </c:pt>
                <c:pt idx="121">
                  <c:v>139000000</c:v>
                </c:pt>
                <c:pt idx="122">
                  <c:v>141800000</c:v>
                </c:pt>
                <c:pt idx="123">
                  <c:v>141400000</c:v>
                </c:pt>
                <c:pt idx="124">
                  <c:v>139400000</c:v>
                </c:pt>
                <c:pt idx="125">
                  <c:v>137300000</c:v>
                </c:pt>
                <c:pt idx="126">
                  <c:v>139800000</c:v>
                </c:pt>
                <c:pt idx="127">
                  <c:v>138100000</c:v>
                </c:pt>
                <c:pt idx="128">
                  <c:v>138400000</c:v>
                </c:pt>
                <c:pt idx="129">
                  <c:v>138000000</c:v>
                </c:pt>
                <c:pt idx="130">
                  <c:v>136700000</c:v>
                </c:pt>
                <c:pt idx="131">
                  <c:v>132600000</c:v>
                </c:pt>
                <c:pt idx="132">
                  <c:v>131100000</c:v>
                </c:pt>
                <c:pt idx="133">
                  <c:v>129600000</c:v>
                </c:pt>
                <c:pt idx="134">
                  <c:v>128100000</c:v>
                </c:pt>
                <c:pt idx="135">
                  <c:v>127500000</c:v>
                </c:pt>
                <c:pt idx="136">
                  <c:v>126500000</c:v>
                </c:pt>
                <c:pt idx="137">
                  <c:v>154500000</c:v>
                </c:pt>
                <c:pt idx="138">
                  <c:v>154600000</c:v>
                </c:pt>
                <c:pt idx="139">
                  <c:v>159300000</c:v>
                </c:pt>
                <c:pt idx="140">
                  <c:v>166300000</c:v>
                </c:pt>
                <c:pt idx="141">
                  <c:v>162500000</c:v>
                </c:pt>
                <c:pt idx="142">
                  <c:v>160500000</c:v>
                </c:pt>
                <c:pt idx="143">
                  <c:v>158700000</c:v>
                </c:pt>
                <c:pt idx="144">
                  <c:v>157800000</c:v>
                </c:pt>
                <c:pt idx="145">
                  <c:v>157400000</c:v>
                </c:pt>
                <c:pt idx="146">
                  <c:v>157700000</c:v>
                </c:pt>
                <c:pt idx="147">
                  <c:v>155700000</c:v>
                </c:pt>
                <c:pt idx="148">
                  <c:v>154600000</c:v>
                </c:pt>
                <c:pt idx="149">
                  <c:v>154000000</c:v>
                </c:pt>
                <c:pt idx="150">
                  <c:v>153200000</c:v>
                </c:pt>
                <c:pt idx="151">
                  <c:v>152500000</c:v>
                </c:pt>
                <c:pt idx="152">
                  <c:v>150800000</c:v>
                </c:pt>
                <c:pt idx="153">
                  <c:v>149500000</c:v>
                </c:pt>
                <c:pt idx="154">
                  <c:v>148500000</c:v>
                </c:pt>
                <c:pt idx="155">
                  <c:v>147100000</c:v>
                </c:pt>
                <c:pt idx="156">
                  <c:v>145500000</c:v>
                </c:pt>
                <c:pt idx="157">
                  <c:v>143900000</c:v>
                </c:pt>
                <c:pt idx="158">
                  <c:v>170000000</c:v>
                </c:pt>
                <c:pt idx="159">
                  <c:v>169100000</c:v>
                </c:pt>
                <c:pt idx="160">
                  <c:v>169400000</c:v>
                </c:pt>
                <c:pt idx="161">
                  <c:v>168900000</c:v>
                </c:pt>
                <c:pt idx="162">
                  <c:v>180500000</c:v>
                </c:pt>
                <c:pt idx="163">
                  <c:v>178300000</c:v>
                </c:pt>
                <c:pt idx="164">
                  <c:v>178600000</c:v>
                </c:pt>
                <c:pt idx="165">
                  <c:v>177100000</c:v>
                </c:pt>
                <c:pt idx="166">
                  <c:v>174900000</c:v>
                </c:pt>
                <c:pt idx="167">
                  <c:v>174500000</c:v>
                </c:pt>
                <c:pt idx="168">
                  <c:v>173400000</c:v>
                </c:pt>
                <c:pt idx="169">
                  <c:v>172600000</c:v>
                </c:pt>
                <c:pt idx="170">
                  <c:v>173200000</c:v>
                </c:pt>
                <c:pt idx="171">
                  <c:v>172800000</c:v>
                </c:pt>
                <c:pt idx="172">
                  <c:v>180800000</c:v>
                </c:pt>
                <c:pt idx="173">
                  <c:v>180600000</c:v>
                </c:pt>
                <c:pt idx="174">
                  <c:v>179300000</c:v>
                </c:pt>
                <c:pt idx="175">
                  <c:v>178100000</c:v>
                </c:pt>
                <c:pt idx="176">
                  <c:v>176700000</c:v>
                </c:pt>
                <c:pt idx="177">
                  <c:v>175200000</c:v>
                </c:pt>
                <c:pt idx="178">
                  <c:v>174000000</c:v>
                </c:pt>
                <c:pt idx="179">
                  <c:v>174500000</c:v>
                </c:pt>
                <c:pt idx="180">
                  <c:v>198100000</c:v>
                </c:pt>
                <c:pt idx="181">
                  <c:v>204900000</c:v>
                </c:pt>
                <c:pt idx="182">
                  <c:v>205200000</c:v>
                </c:pt>
                <c:pt idx="183">
                  <c:v>208300000</c:v>
                </c:pt>
                <c:pt idx="184">
                  <c:v>206900000</c:v>
                </c:pt>
                <c:pt idx="185">
                  <c:v>193500000</c:v>
                </c:pt>
                <c:pt idx="186">
                  <c:v>195000000</c:v>
                </c:pt>
                <c:pt idx="187">
                  <c:v>203400000</c:v>
                </c:pt>
                <c:pt idx="188">
                  <c:v>203200000</c:v>
                </c:pt>
                <c:pt idx="189">
                  <c:v>201300000</c:v>
                </c:pt>
                <c:pt idx="190">
                  <c:v>203100000</c:v>
                </c:pt>
                <c:pt idx="191">
                  <c:v>201100000</c:v>
                </c:pt>
                <c:pt idx="192">
                  <c:v>199300000</c:v>
                </c:pt>
                <c:pt idx="193">
                  <c:v>198500000</c:v>
                </c:pt>
                <c:pt idx="194">
                  <c:v>196400000</c:v>
                </c:pt>
                <c:pt idx="195">
                  <c:v>195600000</c:v>
                </c:pt>
                <c:pt idx="196">
                  <c:v>193700000</c:v>
                </c:pt>
                <c:pt idx="197">
                  <c:v>191500000</c:v>
                </c:pt>
                <c:pt idx="198">
                  <c:v>216200000</c:v>
                </c:pt>
                <c:pt idx="199">
                  <c:v>221800000</c:v>
                </c:pt>
                <c:pt idx="200">
                  <c:v>221500000</c:v>
                </c:pt>
                <c:pt idx="201">
                  <c:v>226800000</c:v>
                </c:pt>
                <c:pt idx="202">
                  <c:v>224900000</c:v>
                </c:pt>
                <c:pt idx="203">
                  <c:v>221900000</c:v>
                </c:pt>
                <c:pt idx="204">
                  <c:v>219600000</c:v>
                </c:pt>
                <c:pt idx="205">
                  <c:v>217000000</c:v>
                </c:pt>
                <c:pt idx="206">
                  <c:v>216800000</c:v>
                </c:pt>
                <c:pt idx="207">
                  <c:v>216400000</c:v>
                </c:pt>
                <c:pt idx="208">
                  <c:v>214700000</c:v>
                </c:pt>
                <c:pt idx="209">
                  <c:v>214300000</c:v>
                </c:pt>
                <c:pt idx="210">
                  <c:v>213400000</c:v>
                </c:pt>
                <c:pt idx="211">
                  <c:v>211800000</c:v>
                </c:pt>
                <c:pt idx="212">
                  <c:v>209800000</c:v>
                </c:pt>
                <c:pt idx="213">
                  <c:v>207200000</c:v>
                </c:pt>
                <c:pt idx="214">
                  <c:v>205600000</c:v>
                </c:pt>
                <c:pt idx="215">
                  <c:v>231800000</c:v>
                </c:pt>
                <c:pt idx="216">
                  <c:v>229400000</c:v>
                </c:pt>
                <c:pt idx="217">
                  <c:v>227500000</c:v>
                </c:pt>
                <c:pt idx="218">
                  <c:v>224900000</c:v>
                </c:pt>
                <c:pt idx="219">
                  <c:v>224800000</c:v>
                </c:pt>
                <c:pt idx="220">
                  <c:v>228000000</c:v>
                </c:pt>
                <c:pt idx="221">
                  <c:v>246700000</c:v>
                </c:pt>
                <c:pt idx="222">
                  <c:v>247300000</c:v>
                </c:pt>
                <c:pt idx="223">
                  <c:v>245600000</c:v>
                </c:pt>
                <c:pt idx="224">
                  <c:v>248300000</c:v>
                </c:pt>
                <c:pt idx="225">
                  <c:v>248200000</c:v>
                </c:pt>
                <c:pt idx="226">
                  <c:v>243200000</c:v>
                </c:pt>
                <c:pt idx="227">
                  <c:v>237900000</c:v>
                </c:pt>
                <c:pt idx="228">
                  <c:v>236300000</c:v>
                </c:pt>
                <c:pt idx="229">
                  <c:v>234800000</c:v>
                </c:pt>
                <c:pt idx="230">
                  <c:v>240700000</c:v>
                </c:pt>
                <c:pt idx="231">
                  <c:v>234600000</c:v>
                </c:pt>
                <c:pt idx="232">
                  <c:v>232500000</c:v>
                </c:pt>
                <c:pt idx="233">
                  <c:v>230300000</c:v>
                </c:pt>
                <c:pt idx="234">
                  <c:v>227000000</c:v>
                </c:pt>
                <c:pt idx="235">
                  <c:v>222600000</c:v>
                </c:pt>
                <c:pt idx="236">
                  <c:v>218500000</c:v>
                </c:pt>
                <c:pt idx="237">
                  <c:v>216600000</c:v>
                </c:pt>
                <c:pt idx="238">
                  <c:v>223400000</c:v>
                </c:pt>
                <c:pt idx="239">
                  <c:v>133400000</c:v>
                </c:pt>
                <c:pt idx="240">
                  <c:v>14400000</c:v>
                </c:pt>
                <c:pt idx="241">
                  <c:v>20000000</c:v>
                </c:pt>
                <c:pt idx="242">
                  <c:v>25700000</c:v>
                </c:pt>
                <c:pt idx="243">
                  <c:v>19500000</c:v>
                </c:pt>
                <c:pt idx="244">
                  <c:v>15700000</c:v>
                </c:pt>
                <c:pt idx="245">
                  <c:v>10700000</c:v>
                </c:pt>
                <c:pt idx="246">
                  <c:v>17700000</c:v>
                </c:pt>
              </c:numCache>
            </c:numRef>
          </c:val>
          <c:smooth val="1"/>
        </c:ser>
        <c:dLbls>
          <c:showLegendKey val="0"/>
          <c:showVal val="0"/>
          <c:showCatName val="0"/>
          <c:showSerName val="0"/>
          <c:showPercent val="0"/>
          <c:showBubbleSize val="0"/>
        </c:dLbls>
        <c:smooth val="0"/>
        <c:axId val="164033176"/>
        <c:axId val="164033560"/>
      </c:lineChart>
      <c:dateAx>
        <c:axId val="164033176"/>
        <c:scaling>
          <c:orientation val="minMax"/>
        </c:scaling>
        <c:delete val="1"/>
        <c:axPos val="b"/>
        <c:numFmt formatCode="m/d/yy" sourceLinked="1"/>
        <c:majorTickMark val="none"/>
        <c:minorTickMark val="cross"/>
        <c:tickLblPos val="nextTo"/>
        <c:crossAx val="164033560"/>
        <c:crosses val="autoZero"/>
        <c:auto val="1"/>
        <c:lblOffset val="100"/>
        <c:baseTimeUnit val="days"/>
      </c:dateAx>
      <c:valAx>
        <c:axId val="164033560"/>
        <c:scaling>
          <c:orientation val="minMax"/>
        </c:scaling>
        <c:delete val="1"/>
        <c:axPos val="l"/>
        <c:majorGridlines/>
        <c:numFmt formatCode="&quot;$&quot;#,##0" sourceLinked="0"/>
        <c:majorTickMark val="none"/>
        <c:minorTickMark val="cross"/>
        <c:tickLblPos val="nextTo"/>
        <c:crossAx val="164033176"/>
        <c:crosses val="autoZero"/>
        <c:crossBetween val="between"/>
        <c:dispUnits>
          <c:builtInUnit val="millions"/>
          <c:dispUnitsLbl>
            <c:layout/>
          </c:dispUnitsLbl>
        </c:dispUnits>
      </c:valAx>
    </c:plotArea>
    <c:legend>
      <c:legendPos val="b"/>
      <c:layout/>
      <c:overlay val="1"/>
      <c:txPr>
        <a:bodyPr/>
        <a:lstStyle/>
        <a:p>
          <a:pPr rtl="0">
            <a:defRPr/>
          </a:pPr>
          <a:endParaRPr lang="en-US"/>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07D9-83A3-4D82-86C9-637F2D6F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DPULtrhd3WinEnv.dot</Template>
  <TotalTime>212</TotalTime>
  <Pages>8</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DIVISION MEMORANDUM</vt:lpstr>
    </vt:vector>
  </TitlesOfParts>
  <Manager/>
  <Company>Administrative Rules</Company>
  <LinksUpToDate>false</LinksUpToDate>
  <CharactersWithSpaces>11961</CharactersWithSpaces>
  <SharedDoc>false</SharedDoc>
  <HLinks>
    <vt:vector size="6" baseType="variant">
      <vt:variant>
        <vt:i4>8192113</vt:i4>
      </vt:variant>
      <vt:variant>
        <vt:i4>0</vt:i4>
      </vt:variant>
      <vt:variant>
        <vt:i4>0</vt:i4>
      </vt:variant>
      <vt:variant>
        <vt:i4>5</vt:i4>
      </vt:variant>
      <vt:variant>
        <vt:lpwstr>http://prnwire.com/cgi-bin/stories.pl?ACCT=104&amp;STORY=/www/story/11-12-2002/0001839749&amp;EDATE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MEMORANDUM</dc:title>
  <dc:subject/>
  <dc:creator>Paul Mecham</dc:creator>
  <cp:keywords/>
  <dc:description/>
  <cp:lastModifiedBy>Sheri Bintz</cp:lastModifiedBy>
  <cp:revision>3</cp:revision>
  <cp:lastPrinted>2011-11-18T14:48:00Z</cp:lastPrinted>
  <dcterms:created xsi:type="dcterms:W3CDTF">2014-05-16T20:29:00Z</dcterms:created>
  <dcterms:modified xsi:type="dcterms:W3CDTF">2018-03-22T19:53:00Z</dcterms:modified>
</cp:coreProperties>
</file>