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5"/>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6688"/>
      </w:tblGrid>
      <w:tr w:rsidR="00757AFF" w:rsidTr="00D71776">
        <w:trPr>
          <w:trHeight w:val="1053"/>
        </w:trPr>
        <w:tc>
          <w:tcPr>
            <w:tcW w:w="3105" w:type="dxa"/>
            <w:tcBorders>
              <w:top w:val="nil"/>
              <w:left w:val="nil"/>
              <w:bottom w:val="nil"/>
              <w:right w:val="nil"/>
            </w:tcBorders>
          </w:tcPr>
          <w:p w:rsidR="00757AFF" w:rsidRDefault="00757AFF" w:rsidP="00D71776">
            <w:bookmarkStart w:id="0" w:name="_GoBack"/>
            <w:bookmarkEnd w:id="0"/>
          </w:p>
          <w:p w:rsidR="00757AFF" w:rsidRDefault="00757AFF" w:rsidP="00D71776"/>
          <w:p w:rsidR="00757AFF" w:rsidRDefault="00757AFF" w:rsidP="00D71776">
            <w:pPr>
              <w:tabs>
                <w:tab w:val="left" w:pos="960"/>
              </w:tabs>
            </w:pPr>
            <w:r>
              <w:tab/>
            </w:r>
          </w:p>
          <w:p w:rsidR="00757AFF" w:rsidRDefault="00757AFF" w:rsidP="00D71776"/>
          <w:p w:rsidR="00757AFF" w:rsidRDefault="00757AFF" w:rsidP="00D71776">
            <w:pPr>
              <w:rPr>
                <w:rFonts w:ascii="Copperplate Gothic Light" w:hAnsi="Copperplate Gothic Light"/>
                <w:sz w:val="16"/>
              </w:rPr>
            </w:pPr>
          </w:p>
          <w:p w:rsidR="00757AFF" w:rsidRDefault="00757AFF" w:rsidP="00D71776">
            <w:pPr>
              <w:rPr>
                <w:rFonts w:ascii="Copperplate Gothic Light" w:hAnsi="Copperplate Gothic Light"/>
                <w:sz w:val="16"/>
              </w:rPr>
            </w:pPr>
          </w:p>
          <w:p w:rsidR="00757AFF" w:rsidRPr="007524BF" w:rsidRDefault="00757AFF" w:rsidP="00D71776">
            <w:pPr>
              <w:rPr>
                <w:rFonts w:ascii="Copperplate Gothic Light" w:hAnsi="Copperplate Gothic Light"/>
                <w:sz w:val="16"/>
              </w:rPr>
            </w:pPr>
            <w:r>
              <w:rPr>
                <w:rFonts w:ascii="Copperplate Gothic Light" w:hAnsi="Copperplate Gothic Light"/>
                <w:sz w:val="16"/>
              </w:rPr>
              <w:t>Andrew O. Isar</w:t>
            </w:r>
          </w:p>
        </w:tc>
        <w:tc>
          <w:tcPr>
            <w:tcW w:w="6688" w:type="dxa"/>
            <w:tcBorders>
              <w:top w:val="nil"/>
              <w:left w:val="nil"/>
              <w:bottom w:val="nil"/>
              <w:right w:val="nil"/>
            </w:tcBorders>
          </w:tcPr>
          <w:p w:rsidR="00757AFF" w:rsidRDefault="00757AFF" w:rsidP="00D71776">
            <w:r>
              <w:t xml:space="preserve">        </w:t>
            </w:r>
            <w:r>
              <w:rPr>
                <w:noProof/>
              </w:rPr>
              <w:drawing>
                <wp:inline distT="0" distB="0" distL="0" distR="0" wp14:anchorId="0DAC692E" wp14:editId="2A4BB5B2">
                  <wp:extent cx="1751330" cy="1642745"/>
                  <wp:effectExtent l="0" t="0" r="0" b="0"/>
                  <wp:docPr id="3" name="Picture 3" descr="Description: MI logo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 logo w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1642745"/>
                          </a:xfrm>
                          <a:prstGeom prst="rect">
                            <a:avLst/>
                          </a:prstGeom>
                          <a:noFill/>
                          <a:ln>
                            <a:noFill/>
                          </a:ln>
                        </pic:spPr>
                      </pic:pic>
                    </a:graphicData>
                  </a:graphic>
                </wp:inline>
              </w:drawing>
            </w:r>
          </w:p>
        </w:tc>
      </w:tr>
    </w:tbl>
    <w:p w:rsidR="004B79F9" w:rsidRPr="000A5C36" w:rsidRDefault="004B79F9" w:rsidP="004B79F9">
      <w:pPr>
        <w:rPr>
          <w:i/>
          <w:u w:val="single"/>
        </w:rPr>
      </w:pPr>
      <w:r>
        <w:rPr>
          <w:i/>
          <w:u w:val="single"/>
        </w:rPr>
        <w:t>Via Electronic Delivery and U.S. Mail</w:t>
      </w:r>
    </w:p>
    <w:p w:rsidR="004B79F9" w:rsidRPr="002C1F6A" w:rsidRDefault="004B79F9" w:rsidP="004B79F9"/>
    <w:p w:rsidR="004B79F9" w:rsidRPr="007E741B" w:rsidRDefault="004B79F9" w:rsidP="004B79F9">
      <w:r>
        <w:t>May 15, 2015</w:t>
      </w:r>
    </w:p>
    <w:p w:rsidR="004B79F9" w:rsidRPr="002C1F6A" w:rsidRDefault="004B79F9" w:rsidP="004B79F9">
      <w:pPr>
        <w:pStyle w:val="Default"/>
      </w:pPr>
    </w:p>
    <w:p w:rsidR="004B79F9" w:rsidRDefault="004B79F9" w:rsidP="004B79F9">
      <w:pPr>
        <w:jc w:val="both"/>
      </w:pPr>
      <w:r>
        <w:t>Mr. Gary Widerburg</w:t>
      </w:r>
    </w:p>
    <w:p w:rsidR="004B79F9" w:rsidRDefault="004B79F9" w:rsidP="004B79F9">
      <w:pPr>
        <w:jc w:val="both"/>
      </w:pPr>
      <w:r>
        <w:t>Commission Secretary</w:t>
      </w:r>
    </w:p>
    <w:p w:rsidR="004B79F9" w:rsidRDefault="004B79F9" w:rsidP="004B79F9">
      <w:pPr>
        <w:jc w:val="both"/>
      </w:pPr>
      <w:r>
        <w:t>Utah Public Service Commission</w:t>
      </w:r>
    </w:p>
    <w:p w:rsidR="004B79F9" w:rsidRDefault="004B79F9" w:rsidP="004B79F9">
      <w:pPr>
        <w:jc w:val="both"/>
      </w:pPr>
      <w:r>
        <w:t>Heber M. Wells Building, 4th Floor</w:t>
      </w:r>
    </w:p>
    <w:p w:rsidR="004B79F9" w:rsidRDefault="004B79F9" w:rsidP="004B79F9">
      <w:pPr>
        <w:jc w:val="both"/>
      </w:pPr>
      <w:r>
        <w:t>160 E. 300 South</w:t>
      </w:r>
    </w:p>
    <w:p w:rsidR="004B79F9" w:rsidRDefault="004B79F9" w:rsidP="004B79F9">
      <w:pPr>
        <w:jc w:val="both"/>
      </w:pPr>
      <w:r>
        <w:t>Salt Lake City, Utah 84111</w:t>
      </w:r>
    </w:p>
    <w:p w:rsidR="00263580" w:rsidRDefault="00263580" w:rsidP="00263580">
      <w:pPr>
        <w:jc w:val="both"/>
      </w:pPr>
    </w:p>
    <w:p w:rsidR="00757AFF" w:rsidRDefault="00757AFF" w:rsidP="00757AFF">
      <w:pPr>
        <w:jc w:val="both"/>
      </w:pPr>
      <w:r>
        <w:tab/>
        <w:t>Re:</w:t>
      </w:r>
      <w:r>
        <w:tab/>
      </w:r>
      <w:r w:rsidR="00F03758">
        <w:t xml:space="preserve">Granite Telecommunications, LLC Tariff Advice Letter No. </w:t>
      </w:r>
      <w:r w:rsidR="004B79F9">
        <w:t>7</w:t>
      </w:r>
    </w:p>
    <w:p w:rsidR="00757AFF" w:rsidRDefault="00757AFF" w:rsidP="00757AFF">
      <w:pPr>
        <w:jc w:val="both"/>
      </w:pPr>
    </w:p>
    <w:p w:rsidR="00F03758" w:rsidRPr="002C1F6A" w:rsidRDefault="00F03758" w:rsidP="00F03758">
      <w:pPr>
        <w:jc w:val="both"/>
      </w:pPr>
      <w:r w:rsidRPr="002C1F6A">
        <w:t>Dear M</w:t>
      </w:r>
      <w:r>
        <w:t xml:space="preserve">r. </w:t>
      </w:r>
      <w:r w:rsidR="004B79F9">
        <w:t>Widerburg</w:t>
      </w:r>
      <w:r w:rsidRPr="002C1F6A">
        <w:t>:</w:t>
      </w:r>
    </w:p>
    <w:p w:rsidR="00757AFF" w:rsidRPr="002C1F6A" w:rsidRDefault="00757AFF" w:rsidP="00757AFF">
      <w:pPr>
        <w:jc w:val="both"/>
      </w:pPr>
    </w:p>
    <w:p w:rsidR="00757AFF" w:rsidRPr="002D6658" w:rsidRDefault="00BD10BF" w:rsidP="002D6658">
      <w:pPr>
        <w:jc w:val="both"/>
        <w:rPr>
          <w:iCs/>
        </w:rPr>
      </w:pPr>
      <w:r>
        <w:t>Granite Telecommunications,</w:t>
      </w:r>
      <w:r w:rsidR="00A62D91">
        <w:t xml:space="preserve"> LLC</w:t>
      </w:r>
      <w:r w:rsidR="00A90DD1" w:rsidRPr="002C1F6A">
        <w:t xml:space="preserve"> </w:t>
      </w:r>
      <w:r w:rsidR="00757AFF" w:rsidRPr="002C1F6A">
        <w:t>(“</w:t>
      </w:r>
      <w:r>
        <w:t>Granite</w:t>
      </w:r>
      <w:r w:rsidR="00757AFF" w:rsidRPr="002C1F6A">
        <w:t xml:space="preserve">”) </w:t>
      </w:r>
      <w:r w:rsidR="00757AFF">
        <w:t>submits to the</w:t>
      </w:r>
      <w:r w:rsidR="00513BC7">
        <w:t xml:space="preserve"> </w:t>
      </w:r>
      <w:r w:rsidR="004B79F9">
        <w:t>Utah Public Service</w:t>
      </w:r>
      <w:r w:rsidR="00F03758" w:rsidRPr="008B25FF">
        <w:rPr>
          <w:iCs/>
        </w:rPr>
        <w:t xml:space="preserve"> Commission</w:t>
      </w:r>
      <w:r w:rsidR="00F03758">
        <w:rPr>
          <w:iCs/>
        </w:rPr>
        <w:t xml:space="preserve"> </w:t>
      </w:r>
      <w:r w:rsidR="00757AFF">
        <w:t xml:space="preserve">this notice of compliance with </w:t>
      </w:r>
      <w:r w:rsidR="00757AFF" w:rsidRPr="00BA6A63">
        <w:t xml:space="preserve">the Federal Communications Commission’s (“FCC”) </w:t>
      </w:r>
      <w:r w:rsidR="00757AFF" w:rsidRPr="00BA6A63">
        <w:rPr>
          <w:i/>
        </w:rPr>
        <w:t>Report and Order and Further Notice of Proposed Rulemaking</w:t>
      </w:r>
      <w:r w:rsidR="00757AFF" w:rsidRPr="00BA6A63">
        <w:t>, in Docket Nos. WC Docket No. 10-90, et al., FCC 11-161,</w:t>
      </w:r>
      <w:r w:rsidR="00757AFF" w:rsidRPr="00BA6A63">
        <w:rPr>
          <w:rStyle w:val="FootnoteReference"/>
          <w:rFonts w:eastAsia="Calibri"/>
          <w:color w:val="000000"/>
        </w:rPr>
        <w:footnoteReference w:id="1"/>
      </w:r>
      <w:r w:rsidR="00757AFF" w:rsidRPr="00BA6A63">
        <w:rPr>
          <w:vertAlign w:val="superscript"/>
        </w:rPr>
        <w:t xml:space="preserve"> </w:t>
      </w:r>
      <w:r w:rsidR="00757AFF" w:rsidRPr="00BA6A63">
        <w:rPr>
          <w:i/>
        </w:rPr>
        <w:t xml:space="preserve">Second Order on Reconsideration </w:t>
      </w:r>
      <w:r w:rsidR="00757AFF" w:rsidRPr="00BA6A63">
        <w:t xml:space="preserve">in Docket Nos. WC Docket No. 10-90, </w:t>
      </w:r>
      <w:r w:rsidR="00757AFF" w:rsidRPr="00BA6A63">
        <w:rPr>
          <w:i/>
        </w:rPr>
        <w:t>et al</w:t>
      </w:r>
      <w:r w:rsidR="00757AFF" w:rsidRPr="00BA6A63">
        <w:t>., FCC 12-47,</w:t>
      </w:r>
      <w:r w:rsidR="00757AFF" w:rsidRPr="00BA6A63">
        <w:rPr>
          <w:rStyle w:val="FootnoteReference"/>
          <w:rFonts w:eastAsia="Calibri"/>
          <w:color w:val="000000"/>
        </w:rPr>
        <w:footnoteReference w:id="2"/>
      </w:r>
      <w:r w:rsidR="00757AFF" w:rsidRPr="00BA6A63">
        <w:t xml:space="preserve"> </w:t>
      </w:r>
      <w:r w:rsidR="002D6658">
        <w:t xml:space="preserve">and </w:t>
      </w:r>
      <w:r w:rsidR="00757AFF" w:rsidRPr="00BA6A63">
        <w:t>Section 51.911</w:t>
      </w:r>
      <w:r w:rsidR="00757AFF">
        <w:t>(c)</w:t>
      </w:r>
      <w:r w:rsidR="00757AFF" w:rsidRPr="00BA6A63">
        <w:t xml:space="preserve"> of the FCC’s rules, 47 C.F.R. §51.911</w:t>
      </w:r>
      <w:r w:rsidR="00757AFF">
        <w:t>(c)</w:t>
      </w:r>
      <w:r w:rsidR="00757AFF" w:rsidRPr="00BA6A63">
        <w:t xml:space="preserve">. </w:t>
      </w:r>
    </w:p>
    <w:p w:rsidR="00757AFF" w:rsidRPr="00BA6A63" w:rsidRDefault="00757AFF" w:rsidP="00757AFF">
      <w:pPr>
        <w:jc w:val="both"/>
      </w:pPr>
    </w:p>
    <w:p w:rsidR="00757AFF" w:rsidRPr="00BA6A63" w:rsidRDefault="00BD10BF" w:rsidP="00757AFF">
      <w:pPr>
        <w:jc w:val="both"/>
      </w:pPr>
      <w:r>
        <w:t>Granite</w:t>
      </w:r>
      <w:r w:rsidRPr="00C142D9">
        <w:t xml:space="preserve"> will comply with the above cited orders and rule by continuing to set its intrastate terminating rates at </w:t>
      </w:r>
      <w:r w:rsidR="00513BC7">
        <w:t xml:space="preserve">or below </w:t>
      </w:r>
      <w:r w:rsidRPr="00C142D9">
        <w:t xml:space="preserve">parity with the corresponding incumbent local exchange carriers rates in its operating territory that become effective July 1, 2015.  </w:t>
      </w:r>
      <w:r>
        <w:t xml:space="preserve">Granite’s </w:t>
      </w:r>
      <w:r w:rsidR="004B79F9">
        <w:t xml:space="preserve">Utah </w:t>
      </w:r>
      <w:r w:rsidRPr="00C142D9">
        <w:t xml:space="preserve">switched access </w:t>
      </w:r>
      <w:r w:rsidR="004B79F9">
        <w:t>price list</w:t>
      </w:r>
      <w:r w:rsidRPr="00C142D9">
        <w:t xml:space="preserve">, </w:t>
      </w:r>
      <w:r w:rsidR="004B79F9">
        <w:t>Utah Price List No. 2</w:t>
      </w:r>
      <w:r w:rsidR="00513BC7">
        <w:t xml:space="preserve">, </w:t>
      </w:r>
      <w:r w:rsidRPr="00C142D9">
        <w:t xml:space="preserve">already adopts the corresponding </w:t>
      </w:r>
      <w:r w:rsidR="00513BC7">
        <w:t>compliant</w:t>
      </w:r>
      <w:r w:rsidRPr="00C142D9">
        <w:t xml:space="preserve"> terminating access rates by citation to the Company’s Tariff F.C.C. No. 1, obviating the need for further </w:t>
      </w:r>
      <w:r w:rsidR="00513BC7">
        <w:t xml:space="preserve">intrastate </w:t>
      </w:r>
      <w:r w:rsidRPr="00C142D9">
        <w:t>tariff amendments to comply with the July 1, 2015 terminating access rate reductions.</w:t>
      </w:r>
      <w:r>
        <w:t xml:space="preserve"> </w:t>
      </w:r>
      <w:r w:rsidRPr="00C142D9">
        <w:t xml:space="preserve"> </w:t>
      </w:r>
      <w:r w:rsidR="00757AFF" w:rsidRPr="00BA6A63">
        <w:t xml:space="preserve">The Company’s F.C.C. Tariff No. 1 may be viewed at </w:t>
      </w:r>
      <w:r w:rsidR="00F03758" w:rsidRPr="00F03758">
        <w:rPr>
          <w:bCs/>
        </w:rPr>
        <w:t>https://apps.fcc.gov/etfs/public/tariff.action?idTariff=442</w:t>
      </w:r>
      <w:r w:rsidR="00757AFF" w:rsidRPr="00BA6A63">
        <w:t>.</w:t>
      </w:r>
    </w:p>
    <w:p w:rsidR="00757AFF" w:rsidRDefault="00757AFF" w:rsidP="00757AFF">
      <w:pPr>
        <w:spacing w:after="200" w:line="276" w:lineRule="auto"/>
      </w:pPr>
      <w:r>
        <w:br w:type="page"/>
      </w:r>
    </w:p>
    <w:p w:rsidR="004B79F9" w:rsidRDefault="004B79F9" w:rsidP="004B79F9">
      <w:pPr>
        <w:jc w:val="both"/>
      </w:pPr>
      <w:r>
        <w:lastRenderedPageBreak/>
        <w:t>Mr. Gary Widerburg</w:t>
      </w:r>
    </w:p>
    <w:p w:rsidR="00757AFF" w:rsidRPr="007E741B" w:rsidRDefault="00BD10BF" w:rsidP="00757AFF">
      <w:r>
        <w:t>May 2</w:t>
      </w:r>
      <w:r w:rsidR="004B79F9">
        <w:t>8</w:t>
      </w:r>
      <w:r w:rsidR="00757AFF">
        <w:t>, 2015</w:t>
      </w:r>
    </w:p>
    <w:p w:rsidR="00757AFF" w:rsidRDefault="00757AFF" w:rsidP="00757AFF">
      <w:pPr>
        <w:jc w:val="both"/>
      </w:pPr>
      <w:r>
        <w:t>Page 2</w:t>
      </w:r>
    </w:p>
    <w:p w:rsidR="00757AFF" w:rsidRDefault="00757AFF" w:rsidP="00757AFF">
      <w:pPr>
        <w:jc w:val="both"/>
      </w:pPr>
    </w:p>
    <w:p w:rsidR="00757AFF" w:rsidRPr="007E741B" w:rsidRDefault="0066473A" w:rsidP="00757AFF">
      <w:pPr>
        <w:jc w:val="both"/>
        <w:rPr>
          <w:bCs/>
        </w:rPr>
      </w:pPr>
      <w:r>
        <w:rPr>
          <w:bCs/>
        </w:rPr>
        <w:t xml:space="preserve">Thank you for your attention to this matter. </w:t>
      </w:r>
      <w:r w:rsidR="00757AFF" w:rsidRPr="007E741B">
        <w:rPr>
          <w:bCs/>
        </w:rPr>
        <w:t>Questions concerning this</w:t>
      </w:r>
      <w:r w:rsidR="00757AFF">
        <w:rPr>
          <w:bCs/>
        </w:rPr>
        <w:t xml:space="preserve"> filing may be directed to the undersigned</w:t>
      </w:r>
      <w:r w:rsidR="00757AFF" w:rsidRPr="007E741B">
        <w:rPr>
          <w:bCs/>
        </w:rPr>
        <w:t>.</w:t>
      </w:r>
    </w:p>
    <w:p w:rsidR="00757AFF" w:rsidRPr="002C1F6A" w:rsidRDefault="00757AFF" w:rsidP="00757AFF">
      <w:pPr>
        <w:jc w:val="both"/>
      </w:pPr>
    </w:p>
    <w:p w:rsidR="00757AFF" w:rsidRPr="00BF60A6" w:rsidRDefault="00757AFF" w:rsidP="00757AFF">
      <w:pPr>
        <w:jc w:val="both"/>
      </w:pPr>
      <w:r w:rsidRPr="00BF60A6">
        <w:t>Sincerely,</w:t>
      </w:r>
    </w:p>
    <w:p w:rsidR="00757AFF" w:rsidRPr="00BF60A6" w:rsidRDefault="00757AFF" w:rsidP="00757AFF">
      <w:pPr>
        <w:jc w:val="both"/>
      </w:pPr>
    </w:p>
    <w:p w:rsidR="00757AFF" w:rsidRPr="00BF60A6" w:rsidRDefault="00757AFF" w:rsidP="00757AFF">
      <w:pPr>
        <w:jc w:val="both"/>
      </w:pPr>
      <w:r w:rsidRPr="00BF60A6">
        <w:t>MILLER ISAR, INC.</w:t>
      </w:r>
    </w:p>
    <w:p w:rsidR="005A4821" w:rsidRDefault="005A4821" w:rsidP="00757AFF">
      <w:pPr>
        <w:rPr>
          <w:noProof/>
        </w:rPr>
      </w:pPr>
    </w:p>
    <w:p w:rsidR="00FC7675" w:rsidRDefault="00FC7675" w:rsidP="00757AFF">
      <w:pPr>
        <w:rPr>
          <w:noProof/>
        </w:rPr>
      </w:pPr>
      <w:r>
        <w:rPr>
          <w:noProof/>
        </w:rPr>
        <w:t>/s/ Andrew O. Isar</w:t>
      </w:r>
    </w:p>
    <w:p w:rsidR="00FC7675" w:rsidRPr="00BF60A6" w:rsidRDefault="00FC7675" w:rsidP="00757AFF"/>
    <w:p w:rsidR="00757AFF" w:rsidRPr="00BF60A6" w:rsidRDefault="00757AFF" w:rsidP="00757AFF">
      <w:r w:rsidRPr="00BF60A6">
        <w:t>Andrew O. Isar</w:t>
      </w:r>
    </w:p>
    <w:p w:rsidR="00757AFF" w:rsidRPr="00BF60A6" w:rsidRDefault="00757AFF" w:rsidP="00757AFF">
      <w:pPr>
        <w:jc w:val="both"/>
      </w:pPr>
    </w:p>
    <w:p w:rsidR="00757AFF" w:rsidRPr="00BF60A6" w:rsidRDefault="00757AFF" w:rsidP="00757AFF">
      <w:pPr>
        <w:jc w:val="both"/>
      </w:pPr>
      <w:r w:rsidRPr="00BF60A6">
        <w:t>Regulatory Consultants to</w:t>
      </w:r>
    </w:p>
    <w:p w:rsidR="00B07BBD" w:rsidRDefault="00BD10BF">
      <w:r>
        <w:t>Granite Telecommunications, LLC</w:t>
      </w:r>
    </w:p>
    <w:sectPr w:rsidR="00B07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F" w:rsidRDefault="00757AFF" w:rsidP="00757AFF">
      <w:r>
        <w:separator/>
      </w:r>
    </w:p>
  </w:endnote>
  <w:endnote w:type="continuationSeparator" w:id="0">
    <w:p w:rsidR="00757AFF" w:rsidRDefault="00757AFF" w:rsidP="0075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F" w:rsidRDefault="00757AFF" w:rsidP="00757AFF">
      <w:r>
        <w:separator/>
      </w:r>
    </w:p>
  </w:footnote>
  <w:footnote w:type="continuationSeparator" w:id="0">
    <w:p w:rsidR="00757AFF" w:rsidRDefault="00757AFF" w:rsidP="00757AFF">
      <w:r>
        <w:continuationSeparator/>
      </w:r>
    </w:p>
  </w:footnote>
  <w:footnote w:id="1">
    <w:p w:rsidR="00757AFF" w:rsidRDefault="00757AFF" w:rsidP="00757AFF">
      <w:pPr>
        <w:pStyle w:val="FootnoteText"/>
      </w:pPr>
      <w:r>
        <w:rPr>
          <w:rStyle w:val="FootnoteReference"/>
        </w:rPr>
        <w:footnoteRef/>
      </w:r>
      <w:r>
        <w:t xml:space="preserve"> </w:t>
      </w:r>
      <w:r>
        <w:rPr>
          <w:i/>
          <w:sz w:val="18"/>
          <w:szCs w:val="18"/>
        </w:rPr>
        <w:t>Connect America Fund et al</w:t>
      </w:r>
      <w:r>
        <w:rPr>
          <w:sz w:val="18"/>
          <w:szCs w:val="18"/>
        </w:rPr>
        <w:t xml:space="preserve">., WC </w:t>
      </w:r>
      <w:proofErr w:type="spellStart"/>
      <w:r>
        <w:rPr>
          <w:sz w:val="18"/>
          <w:szCs w:val="18"/>
        </w:rPr>
        <w:t>Dkt</w:t>
      </w:r>
      <w:proofErr w:type="spellEnd"/>
      <w:r>
        <w:rPr>
          <w:sz w:val="18"/>
          <w:szCs w:val="18"/>
        </w:rPr>
        <w:t xml:space="preserve">. No. 10-90 </w:t>
      </w:r>
      <w:r>
        <w:rPr>
          <w:i/>
          <w:sz w:val="18"/>
          <w:szCs w:val="18"/>
        </w:rPr>
        <w:t>et al</w:t>
      </w:r>
      <w:r>
        <w:rPr>
          <w:sz w:val="18"/>
          <w:szCs w:val="18"/>
        </w:rPr>
        <w:t xml:space="preserve">., </w:t>
      </w:r>
      <w:r w:rsidRPr="002454A7">
        <w:rPr>
          <w:i/>
          <w:sz w:val="18"/>
          <w:szCs w:val="18"/>
        </w:rPr>
        <w:t>Report and Order and Further Notice of Proposed Rulemaking</w:t>
      </w:r>
      <w:r>
        <w:rPr>
          <w:sz w:val="18"/>
          <w:szCs w:val="18"/>
        </w:rPr>
        <w:t>, FCC 11-161 (rel. Nov. 18, 2011) (</w:t>
      </w:r>
      <w:r>
        <w:rPr>
          <w:i/>
          <w:sz w:val="18"/>
          <w:szCs w:val="18"/>
        </w:rPr>
        <w:t>USF/ICC Transformation Order</w:t>
      </w:r>
      <w:r>
        <w:rPr>
          <w:sz w:val="18"/>
          <w:szCs w:val="18"/>
        </w:rPr>
        <w:t>).</w:t>
      </w:r>
    </w:p>
  </w:footnote>
  <w:footnote w:id="2">
    <w:p w:rsidR="00757AFF" w:rsidRDefault="00757AFF" w:rsidP="00757AFF">
      <w:pPr>
        <w:pStyle w:val="FootnoteText"/>
        <w:jc w:val="both"/>
      </w:pPr>
      <w:r>
        <w:rPr>
          <w:rStyle w:val="FootnoteReference"/>
          <w:sz w:val="18"/>
          <w:szCs w:val="18"/>
        </w:rPr>
        <w:footnoteRef/>
      </w:r>
      <w:r>
        <w:rPr>
          <w:sz w:val="18"/>
          <w:szCs w:val="18"/>
        </w:rPr>
        <w:t xml:space="preserve"> </w:t>
      </w:r>
      <w:r>
        <w:rPr>
          <w:i/>
          <w:sz w:val="18"/>
          <w:szCs w:val="18"/>
        </w:rPr>
        <w:t>Id.</w:t>
      </w:r>
      <w:r>
        <w:rPr>
          <w:sz w:val="18"/>
          <w:szCs w:val="18"/>
        </w:rPr>
        <w:t xml:space="preserve">, </w:t>
      </w:r>
      <w:r w:rsidRPr="002454A7">
        <w:rPr>
          <w:i/>
          <w:sz w:val="18"/>
          <w:szCs w:val="18"/>
        </w:rPr>
        <w:t>Report and Order and Further Notice of Proposed Rulemaking,</w:t>
      </w:r>
      <w:r>
        <w:rPr>
          <w:sz w:val="18"/>
          <w:szCs w:val="18"/>
        </w:rPr>
        <w:t xml:space="preserve"> FCC </w:t>
      </w:r>
      <w:r w:rsidRPr="00A62D91">
        <w:rPr>
          <w:sz w:val="18"/>
          <w:szCs w:val="18"/>
        </w:rPr>
        <w:t>12-47</w:t>
      </w:r>
      <w:r>
        <w:rPr>
          <w:sz w:val="18"/>
          <w:szCs w:val="18"/>
        </w:rPr>
        <w:t xml:space="preserve"> (rel. April 25,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F"/>
    <w:rsid w:val="000A3F57"/>
    <w:rsid w:val="00145292"/>
    <w:rsid w:val="00263580"/>
    <w:rsid w:val="002D448E"/>
    <w:rsid w:val="002D6658"/>
    <w:rsid w:val="003152D7"/>
    <w:rsid w:val="004B79F9"/>
    <w:rsid w:val="00513BC7"/>
    <w:rsid w:val="00551F72"/>
    <w:rsid w:val="005A4821"/>
    <w:rsid w:val="00611225"/>
    <w:rsid w:val="0066473A"/>
    <w:rsid w:val="00757AFF"/>
    <w:rsid w:val="0082354B"/>
    <w:rsid w:val="009B2EBA"/>
    <w:rsid w:val="00A62D91"/>
    <w:rsid w:val="00A90DD1"/>
    <w:rsid w:val="00B07BBD"/>
    <w:rsid w:val="00BD10BF"/>
    <w:rsid w:val="00CB5A5A"/>
    <w:rsid w:val="00F03758"/>
    <w:rsid w:val="00F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DB52E-C285-4251-A9C0-344E5EB1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BC7"/>
    <w:pPr>
      <w:keepNext/>
      <w:outlineLvl w:val="0"/>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48E"/>
    <w:pPr>
      <w:spacing w:after="0" w:line="240" w:lineRule="auto"/>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unhideWhenUsed/>
    <w:rsid w:val="00757AFF"/>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757AF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757AFF"/>
    <w:rPr>
      <w:vertAlign w:val="superscript"/>
    </w:rPr>
  </w:style>
  <w:style w:type="paragraph" w:styleId="BodyTextIndent">
    <w:name w:val="Body Text Indent"/>
    <w:basedOn w:val="Normal"/>
    <w:link w:val="BodyTextIndentChar"/>
    <w:uiPriority w:val="99"/>
    <w:semiHidden/>
    <w:unhideWhenUsed/>
    <w:rsid w:val="00757AFF"/>
    <w:pPr>
      <w:spacing w:after="120"/>
      <w:ind w:left="360"/>
    </w:pPr>
  </w:style>
  <w:style w:type="character" w:customStyle="1" w:styleId="BodyTextIndentChar">
    <w:name w:val="Body Text Indent Char"/>
    <w:basedOn w:val="DefaultParagraphFont"/>
    <w:link w:val="BodyTextIndent"/>
    <w:uiPriority w:val="99"/>
    <w:semiHidden/>
    <w:rsid w:val="00757AFF"/>
    <w:rPr>
      <w:rFonts w:ascii="Times New Roman" w:eastAsia="Times New Roman" w:hAnsi="Times New Roman" w:cs="Times New Roman"/>
      <w:sz w:val="24"/>
      <w:szCs w:val="24"/>
    </w:rPr>
  </w:style>
  <w:style w:type="paragraph" w:customStyle="1" w:styleId="Default">
    <w:name w:val="Default"/>
    <w:rsid w:val="00757A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757AFF"/>
    <w:rPr>
      <w:color w:val="0000FF"/>
      <w:u w:val="single"/>
    </w:rPr>
  </w:style>
  <w:style w:type="paragraph" w:styleId="BalloonText">
    <w:name w:val="Balloon Text"/>
    <w:basedOn w:val="Normal"/>
    <w:link w:val="BalloonTextChar"/>
    <w:uiPriority w:val="99"/>
    <w:semiHidden/>
    <w:unhideWhenUsed/>
    <w:rsid w:val="00757AFF"/>
    <w:rPr>
      <w:rFonts w:ascii="Tahoma" w:hAnsi="Tahoma" w:cs="Tahoma"/>
      <w:sz w:val="16"/>
      <w:szCs w:val="16"/>
    </w:rPr>
  </w:style>
  <w:style w:type="character" w:customStyle="1" w:styleId="BalloonTextChar">
    <w:name w:val="Balloon Text Char"/>
    <w:basedOn w:val="DefaultParagraphFont"/>
    <w:link w:val="BalloonText"/>
    <w:uiPriority w:val="99"/>
    <w:semiHidden/>
    <w:rsid w:val="00757AFF"/>
    <w:rPr>
      <w:rFonts w:ascii="Tahoma" w:eastAsia="Times New Roman" w:hAnsi="Tahoma" w:cs="Tahoma"/>
      <w:sz w:val="16"/>
      <w:szCs w:val="16"/>
    </w:rPr>
  </w:style>
  <w:style w:type="paragraph" w:styleId="BodyText2">
    <w:name w:val="Body Text 2"/>
    <w:basedOn w:val="Normal"/>
    <w:link w:val="BodyText2Char"/>
    <w:uiPriority w:val="99"/>
    <w:semiHidden/>
    <w:unhideWhenUsed/>
    <w:rsid w:val="00263580"/>
    <w:pPr>
      <w:spacing w:after="120" w:line="480" w:lineRule="auto"/>
    </w:pPr>
  </w:style>
  <w:style w:type="character" w:customStyle="1" w:styleId="BodyText2Char">
    <w:name w:val="Body Text 2 Char"/>
    <w:basedOn w:val="DefaultParagraphFont"/>
    <w:link w:val="BodyText2"/>
    <w:uiPriority w:val="99"/>
    <w:semiHidden/>
    <w:rsid w:val="0026358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3BC7"/>
    <w:rPr>
      <w:rFonts w:ascii="Times New Roman" w:eastAsia="Times New Roman" w:hAnsi="Times New Roman" w:cs="Times New Roman"/>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Isar</dc:creator>
  <cp:lastModifiedBy>Melissa Paschal</cp:lastModifiedBy>
  <cp:revision>2</cp:revision>
  <cp:lastPrinted>2015-05-28T15:50:00Z</cp:lastPrinted>
  <dcterms:created xsi:type="dcterms:W3CDTF">2015-06-08T16:06:00Z</dcterms:created>
  <dcterms:modified xsi:type="dcterms:W3CDTF">2015-06-08T16:06:00Z</dcterms:modified>
</cp:coreProperties>
</file>