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17ABA" w14:textId="561A0A2B" w:rsidR="00BD2B85" w:rsidRPr="00481CB3" w:rsidRDefault="00BD2B85">
      <w:pPr>
        <w:pStyle w:val="Heading2"/>
        <w:rPr>
          <w:rFonts w:ascii="Times New Roman" w:hAnsi="Times New Roman"/>
          <w:b w:val="0"/>
          <w:i w:val="0"/>
          <w:sz w:val="24"/>
          <w:szCs w:val="24"/>
          <w:lang w:val="en-US"/>
        </w:rPr>
      </w:pPr>
      <w:r>
        <w:t xml:space="preserve">                                                                                                                                                                                                                                                                                                                                                                                                                                                                                                                                                                                                                                                                                                                                                                                                                         </w:t>
      </w:r>
      <w:r w:rsidRPr="007269F6">
        <w:rPr>
          <w:rFonts w:ascii="Times New Roman" w:hAnsi="Times New Roman"/>
          <w:b w:val="0"/>
          <w:i w:val="0"/>
          <w:sz w:val="24"/>
          <w:szCs w:val="24"/>
        </w:rPr>
        <w:t xml:space="preserve">P.S.C.U. Docket No. </w:t>
      </w:r>
      <w:r w:rsidR="00C61B45">
        <w:rPr>
          <w:rFonts w:ascii="Times New Roman" w:hAnsi="Times New Roman"/>
          <w:b w:val="0"/>
          <w:i w:val="0"/>
          <w:sz w:val="24"/>
          <w:szCs w:val="24"/>
          <w:lang w:val="en-US"/>
        </w:rPr>
        <w:t>2</w:t>
      </w:r>
      <w:r w:rsidR="00412CD4">
        <w:rPr>
          <w:rFonts w:ascii="Times New Roman" w:hAnsi="Times New Roman"/>
          <w:b w:val="0"/>
          <w:i w:val="0"/>
          <w:sz w:val="24"/>
          <w:szCs w:val="24"/>
          <w:lang w:val="en-US"/>
        </w:rPr>
        <w:t>5</w:t>
      </w:r>
      <w:r w:rsidRPr="007269F6">
        <w:rPr>
          <w:rFonts w:ascii="Times New Roman" w:hAnsi="Times New Roman"/>
          <w:b w:val="0"/>
          <w:i w:val="0"/>
          <w:sz w:val="24"/>
          <w:szCs w:val="24"/>
        </w:rPr>
        <w:t>-057-</w:t>
      </w:r>
      <w:r w:rsidR="00D5050D">
        <w:rPr>
          <w:rFonts w:ascii="Times New Roman" w:hAnsi="Times New Roman"/>
          <w:b w:val="0"/>
          <w:i w:val="0"/>
          <w:sz w:val="24"/>
          <w:szCs w:val="24"/>
        </w:rPr>
        <w:t>06</w:t>
      </w:r>
    </w:p>
    <w:p w14:paraId="63DDFF45" w14:textId="77777777" w:rsidR="00BD2B85" w:rsidRDefault="00BD2B85">
      <w:pPr>
        <w:jc w:val="right"/>
        <w:rPr>
          <w:sz w:val="24"/>
          <w:szCs w:val="24"/>
        </w:rPr>
      </w:pPr>
      <w:r>
        <w:rPr>
          <w:sz w:val="24"/>
          <w:szCs w:val="24"/>
        </w:rPr>
        <w:t xml:space="preserve"> </w:t>
      </w:r>
      <w:bookmarkStart w:id="0" w:name="A1"/>
      <w:bookmarkEnd w:id="0"/>
      <w:r>
        <w:rPr>
          <w:sz w:val="24"/>
          <w:szCs w:val="24"/>
        </w:rPr>
        <w:t xml:space="preserve">Data Request No.  </w:t>
      </w:r>
      <w:r w:rsidR="00663360">
        <w:rPr>
          <w:sz w:val="24"/>
          <w:szCs w:val="24"/>
        </w:rPr>
        <w:t xml:space="preserve">MDR_22 </w:t>
      </w:r>
      <w:r>
        <w:rPr>
          <w:sz w:val="24"/>
          <w:szCs w:val="24"/>
        </w:rPr>
        <w:t xml:space="preserve">D.25  </w:t>
      </w:r>
    </w:p>
    <w:p w14:paraId="5696E1C4" w14:textId="77777777" w:rsidR="00BD2B85" w:rsidRPr="007269F6" w:rsidRDefault="00BD2B85">
      <w:pPr>
        <w:pStyle w:val="Heading2"/>
        <w:rPr>
          <w:rFonts w:ascii="Times New Roman" w:hAnsi="Times New Roman"/>
          <w:b w:val="0"/>
          <w:i w:val="0"/>
          <w:sz w:val="24"/>
          <w:szCs w:val="24"/>
        </w:rPr>
      </w:pPr>
      <w:r w:rsidRPr="007269F6">
        <w:rPr>
          <w:rFonts w:ascii="Times New Roman" w:hAnsi="Times New Roman"/>
          <w:b w:val="0"/>
          <w:i w:val="0"/>
          <w:sz w:val="24"/>
          <w:szCs w:val="24"/>
        </w:rPr>
        <w:t xml:space="preserve">Requested by R746-700-22   </w:t>
      </w:r>
    </w:p>
    <w:p w14:paraId="75600506" w14:textId="0181C320" w:rsidR="00BD2B85" w:rsidRDefault="00BD2B85">
      <w:pPr>
        <w:jc w:val="right"/>
        <w:rPr>
          <w:sz w:val="24"/>
          <w:szCs w:val="24"/>
        </w:rPr>
      </w:pPr>
      <w:r>
        <w:rPr>
          <w:sz w:val="24"/>
          <w:szCs w:val="24"/>
        </w:rPr>
        <w:t xml:space="preserve">Date of </w:t>
      </w:r>
      <w:r w:rsidR="00412CD4">
        <w:rPr>
          <w:sz w:val="24"/>
          <w:szCs w:val="24"/>
        </w:rPr>
        <w:t>EG</w:t>
      </w:r>
      <w:r w:rsidR="008A2EFB">
        <w:rPr>
          <w:sz w:val="24"/>
          <w:szCs w:val="24"/>
        </w:rPr>
        <w:t>U</w:t>
      </w:r>
      <w:r>
        <w:rPr>
          <w:sz w:val="24"/>
          <w:szCs w:val="24"/>
        </w:rPr>
        <w:t xml:space="preserve"> Response</w:t>
      </w:r>
      <w:r w:rsidR="006C0AC2">
        <w:rPr>
          <w:sz w:val="24"/>
          <w:szCs w:val="24"/>
        </w:rPr>
        <w:t xml:space="preserve">: </w:t>
      </w:r>
      <w:r w:rsidR="00380ED5">
        <w:rPr>
          <w:sz w:val="24"/>
          <w:szCs w:val="24"/>
        </w:rPr>
        <w:t xml:space="preserve"> </w:t>
      </w:r>
      <w:r w:rsidR="00D5050D">
        <w:rPr>
          <w:sz w:val="24"/>
          <w:szCs w:val="24"/>
        </w:rPr>
        <w:t>May 1</w:t>
      </w:r>
      <w:r w:rsidR="006C0AC2">
        <w:rPr>
          <w:sz w:val="24"/>
          <w:szCs w:val="24"/>
        </w:rPr>
        <w:t>, 20</w:t>
      </w:r>
      <w:r w:rsidR="00C61B45">
        <w:rPr>
          <w:sz w:val="24"/>
          <w:szCs w:val="24"/>
        </w:rPr>
        <w:t>2</w:t>
      </w:r>
      <w:r w:rsidR="005210FA">
        <w:rPr>
          <w:sz w:val="24"/>
          <w:szCs w:val="24"/>
        </w:rPr>
        <w:t>5</w:t>
      </w:r>
      <w:r>
        <w:rPr>
          <w:sz w:val="24"/>
          <w:szCs w:val="24"/>
        </w:rPr>
        <w:t xml:space="preserve"> </w:t>
      </w:r>
    </w:p>
    <w:p w14:paraId="7FADBBCD" w14:textId="77777777" w:rsidR="00BD2B85" w:rsidRDefault="00BD2B85">
      <w:pPr>
        <w:rPr>
          <w:sz w:val="24"/>
          <w:szCs w:val="24"/>
        </w:rPr>
      </w:pPr>
    </w:p>
    <w:p w14:paraId="470A94CB" w14:textId="77777777" w:rsidR="00BD2B85" w:rsidRDefault="00BD2B85">
      <w:pPr>
        <w:rPr>
          <w:sz w:val="24"/>
          <w:szCs w:val="24"/>
        </w:rPr>
      </w:pPr>
    </w:p>
    <w:p w14:paraId="7BFB0A2E" w14:textId="77777777" w:rsidR="00BD2B85" w:rsidRDefault="00BD2B85">
      <w:pPr>
        <w:ind w:left="360"/>
      </w:pPr>
      <w:bookmarkStart w:id="1" w:name="A2"/>
      <w:bookmarkStart w:id="2" w:name="BM_1_"/>
      <w:bookmarkEnd w:id="1"/>
      <w:bookmarkEnd w:id="2"/>
    </w:p>
    <w:p w14:paraId="68C29021" w14:textId="77777777" w:rsidR="00BD2B85" w:rsidRDefault="00663360" w:rsidP="00663360">
      <w:pPr>
        <w:ind w:left="1440" w:hanging="1530"/>
        <w:rPr>
          <w:sz w:val="24"/>
          <w:szCs w:val="24"/>
        </w:rPr>
      </w:pPr>
      <w:r>
        <w:rPr>
          <w:sz w:val="24"/>
          <w:szCs w:val="24"/>
        </w:rPr>
        <w:t xml:space="preserve">MDR_22 </w:t>
      </w:r>
      <w:r w:rsidR="00BD2B85">
        <w:rPr>
          <w:sz w:val="24"/>
          <w:szCs w:val="24"/>
        </w:rPr>
        <w:t>D.25</w:t>
      </w:r>
      <w:r w:rsidR="00BD2B85">
        <w:tab/>
      </w:r>
      <w:r w:rsidR="00BD2B85">
        <w:rPr>
          <w:b/>
          <w:sz w:val="24"/>
          <w:szCs w:val="24"/>
        </w:rPr>
        <w:t>Miscellaneous Information.</w:t>
      </w:r>
    </w:p>
    <w:p w14:paraId="0B2020ED" w14:textId="77777777" w:rsidR="00BD2B85" w:rsidRDefault="00BD2B85">
      <w:pPr>
        <w:ind w:left="1440" w:hanging="1440"/>
        <w:rPr>
          <w:sz w:val="24"/>
          <w:szCs w:val="24"/>
        </w:rPr>
      </w:pPr>
      <w:r>
        <w:rPr>
          <w:sz w:val="24"/>
          <w:szCs w:val="24"/>
        </w:rPr>
        <w:tab/>
      </w:r>
    </w:p>
    <w:p w14:paraId="6A9BDCE4" w14:textId="77777777" w:rsidR="00BD2B85" w:rsidRDefault="00BD2B85" w:rsidP="00C61B45">
      <w:pPr>
        <w:ind w:left="1440"/>
        <w:jc w:val="both"/>
        <w:rPr>
          <w:sz w:val="24"/>
          <w:szCs w:val="24"/>
        </w:rPr>
      </w:pPr>
      <w:r>
        <w:rPr>
          <w:sz w:val="24"/>
          <w:szCs w:val="24"/>
        </w:rPr>
        <w:t>Employee Costs – Incentive Plans. Complete copies of bonus programs or incentive award programs in effect for the utility for the Base Year, the prior Historical Year, the Test Period and To Date.  Identify incentive and bonus program expenses incurred in the Base Year, the prior Historical Year, the Test Period and To Date and identify the amounts included in the Test Period.  Identify the accounts charged.  Identify incentive and bonus program expenses charged or allocated to the utility from affiliates or the parent company in the Base Year, the prior Historical Year, the Test Period and To Date.</w:t>
      </w:r>
    </w:p>
    <w:p w14:paraId="78760AE4" w14:textId="77777777" w:rsidR="00BD2B85" w:rsidRDefault="00BD2B85">
      <w:pPr>
        <w:ind w:left="1440"/>
        <w:rPr>
          <w:sz w:val="24"/>
          <w:szCs w:val="24"/>
        </w:rPr>
      </w:pPr>
      <w:r>
        <w:rPr>
          <w:sz w:val="24"/>
          <w:szCs w:val="24"/>
        </w:rPr>
        <w:t xml:space="preserve"> </w:t>
      </w:r>
    </w:p>
    <w:p w14:paraId="7FA7F320" w14:textId="44888AB7" w:rsidR="006C0AC2" w:rsidRDefault="00BD2B85" w:rsidP="05F3F4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pPr>
      <w:r w:rsidRPr="05F3F407">
        <w:rPr>
          <w:sz w:val="24"/>
          <w:szCs w:val="24"/>
        </w:rPr>
        <w:t>Answer:</w:t>
      </w:r>
      <w:r>
        <w:tab/>
      </w:r>
      <w:r w:rsidR="41A99FAD" w:rsidRPr="05F3F407">
        <w:rPr>
          <w:sz w:val="24"/>
          <w:szCs w:val="24"/>
        </w:rPr>
        <w:t>The plans are included as file MDR_22 D.25</w:t>
      </w:r>
      <w:r w:rsidR="00FD6F8C">
        <w:rPr>
          <w:sz w:val="24"/>
          <w:szCs w:val="24"/>
        </w:rPr>
        <w:t xml:space="preserve"> </w:t>
      </w:r>
      <w:r w:rsidR="41A99FAD" w:rsidRPr="05F3F407">
        <w:rPr>
          <w:sz w:val="24"/>
          <w:szCs w:val="24"/>
        </w:rPr>
        <w:t>Attach</w:t>
      </w:r>
      <w:r w:rsidR="00FD6F8C">
        <w:rPr>
          <w:sz w:val="24"/>
          <w:szCs w:val="24"/>
        </w:rPr>
        <w:t xml:space="preserve">ment </w:t>
      </w:r>
      <w:r w:rsidR="41A99FAD" w:rsidRPr="05F3F407">
        <w:rPr>
          <w:sz w:val="24"/>
          <w:szCs w:val="24"/>
        </w:rPr>
        <w:t xml:space="preserve">1. </w:t>
      </w:r>
      <w:r w:rsidR="00457D9A">
        <w:rPr>
          <w:sz w:val="24"/>
          <w:szCs w:val="24"/>
        </w:rPr>
        <w:t xml:space="preserve"> </w:t>
      </w:r>
      <w:r w:rsidR="41A99FAD" w:rsidRPr="05F3F407">
        <w:rPr>
          <w:sz w:val="24"/>
          <w:szCs w:val="24"/>
        </w:rPr>
        <w:t xml:space="preserve">Note that for 2024, the incentive plan was a hybrid of the Dominion Energy and Enbridge plans.  Employees’ incentive payout represented 5/12 of the Dominion plan and 7/12 of the Enbridge plan.  The historical and test period amounts are shown below. </w:t>
      </w:r>
    </w:p>
    <w:p w14:paraId="58BA6D4F" w14:textId="0461DD54" w:rsidR="006C0AC2" w:rsidRDefault="41A99FAD" w:rsidP="05F3F4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pPr>
      <w:r w:rsidRPr="05F3F407">
        <w:rPr>
          <w:sz w:val="24"/>
          <w:szCs w:val="24"/>
        </w:rPr>
        <w:t xml:space="preserve"> </w:t>
      </w:r>
    </w:p>
    <w:tbl>
      <w:tblPr>
        <w:tblW w:w="0" w:type="auto"/>
        <w:tblInd w:w="1545" w:type="dxa"/>
        <w:tblLayout w:type="fixed"/>
        <w:tblLook w:val="04A0" w:firstRow="1" w:lastRow="0" w:firstColumn="1" w:lastColumn="0" w:noHBand="0" w:noVBand="1"/>
      </w:tblPr>
      <w:tblGrid>
        <w:gridCol w:w="2327"/>
        <w:gridCol w:w="1390"/>
        <w:gridCol w:w="1501"/>
        <w:gridCol w:w="1390"/>
        <w:gridCol w:w="1390"/>
      </w:tblGrid>
      <w:tr w:rsidR="05F3F407" w14:paraId="4459BB72" w14:textId="77777777" w:rsidTr="05F3F407">
        <w:trPr>
          <w:trHeight w:val="255"/>
        </w:trPr>
        <w:tc>
          <w:tcPr>
            <w:tcW w:w="2327" w:type="dxa"/>
            <w:tcMar>
              <w:left w:w="108" w:type="dxa"/>
              <w:right w:w="108" w:type="dxa"/>
            </w:tcMar>
            <w:vAlign w:val="bottom"/>
          </w:tcPr>
          <w:p w14:paraId="0E1E9EFA" w14:textId="2E79BFCB" w:rsidR="05F3F407" w:rsidRDefault="05F3F407"/>
        </w:tc>
        <w:tc>
          <w:tcPr>
            <w:tcW w:w="1390" w:type="dxa"/>
            <w:tcBorders>
              <w:top w:val="single" w:sz="8" w:space="0" w:color="auto"/>
              <w:left w:val="single" w:sz="8" w:space="0" w:color="auto"/>
              <w:bottom w:val="nil"/>
              <w:right w:val="single" w:sz="8" w:space="0" w:color="auto"/>
            </w:tcBorders>
            <w:tcMar>
              <w:left w:w="108" w:type="dxa"/>
              <w:right w:w="108" w:type="dxa"/>
            </w:tcMar>
            <w:vAlign w:val="bottom"/>
          </w:tcPr>
          <w:p w14:paraId="4F64D17B" w14:textId="26B1288C" w:rsidR="05F3F407" w:rsidRDefault="05F3F407" w:rsidP="05F3F407">
            <w:pPr>
              <w:jc w:val="center"/>
            </w:pPr>
            <w:r w:rsidRPr="05F3F407">
              <w:rPr>
                <w:rFonts w:ascii="Arial" w:eastAsia="Arial" w:hAnsi="Arial" w:cs="Arial"/>
              </w:rPr>
              <w:t>Historical</w:t>
            </w:r>
          </w:p>
        </w:tc>
        <w:tc>
          <w:tcPr>
            <w:tcW w:w="1501" w:type="dxa"/>
            <w:tcBorders>
              <w:top w:val="single" w:sz="8" w:space="0" w:color="auto"/>
              <w:left w:val="single" w:sz="8" w:space="0" w:color="auto"/>
              <w:bottom w:val="nil"/>
              <w:right w:val="single" w:sz="8" w:space="0" w:color="auto"/>
            </w:tcBorders>
            <w:tcMar>
              <w:left w:w="108" w:type="dxa"/>
              <w:right w:w="108" w:type="dxa"/>
            </w:tcMar>
            <w:vAlign w:val="bottom"/>
          </w:tcPr>
          <w:p w14:paraId="4FE76F04" w14:textId="7152F3EB" w:rsidR="05F3F407" w:rsidRDefault="05F3F407" w:rsidP="05F3F407">
            <w:pPr>
              <w:jc w:val="center"/>
            </w:pPr>
            <w:r w:rsidRPr="05F3F407">
              <w:rPr>
                <w:rFonts w:ascii="Arial" w:eastAsia="Arial" w:hAnsi="Arial" w:cs="Arial"/>
              </w:rPr>
              <w:t>Base</w:t>
            </w:r>
          </w:p>
        </w:tc>
        <w:tc>
          <w:tcPr>
            <w:tcW w:w="1390" w:type="dxa"/>
            <w:tcBorders>
              <w:top w:val="single" w:sz="8" w:space="0" w:color="auto"/>
              <w:left w:val="single" w:sz="8" w:space="0" w:color="auto"/>
              <w:bottom w:val="nil"/>
              <w:right w:val="single" w:sz="8" w:space="0" w:color="auto"/>
            </w:tcBorders>
            <w:tcMar>
              <w:left w:w="108" w:type="dxa"/>
              <w:right w:w="108" w:type="dxa"/>
            </w:tcMar>
            <w:vAlign w:val="bottom"/>
          </w:tcPr>
          <w:p w14:paraId="278CF79E" w14:textId="5D9012C8" w:rsidR="05F3F407" w:rsidRDefault="05F3F407" w:rsidP="05F3F407">
            <w:pPr>
              <w:jc w:val="center"/>
            </w:pPr>
            <w:r w:rsidRPr="05F3F407">
              <w:rPr>
                <w:rFonts w:ascii="Arial" w:eastAsia="Arial" w:hAnsi="Arial" w:cs="Arial"/>
              </w:rPr>
              <w:t>Test Year</w:t>
            </w:r>
          </w:p>
        </w:tc>
        <w:tc>
          <w:tcPr>
            <w:tcW w:w="1390" w:type="dxa"/>
            <w:tcBorders>
              <w:top w:val="single" w:sz="8" w:space="0" w:color="auto"/>
              <w:left w:val="single" w:sz="8" w:space="0" w:color="auto"/>
              <w:bottom w:val="nil"/>
              <w:right w:val="single" w:sz="8" w:space="0" w:color="auto"/>
            </w:tcBorders>
            <w:tcMar>
              <w:left w:w="108" w:type="dxa"/>
              <w:right w:w="108" w:type="dxa"/>
            </w:tcMar>
            <w:vAlign w:val="bottom"/>
          </w:tcPr>
          <w:p w14:paraId="6A6B80E0" w14:textId="54FA7BCF" w:rsidR="05F3F407" w:rsidRDefault="05F3F407" w:rsidP="05F3F407">
            <w:pPr>
              <w:jc w:val="center"/>
            </w:pPr>
            <w:r w:rsidRPr="05F3F407">
              <w:rPr>
                <w:rFonts w:ascii="Arial" w:eastAsia="Arial" w:hAnsi="Arial" w:cs="Arial"/>
              </w:rPr>
              <w:t>Test Year</w:t>
            </w:r>
          </w:p>
        </w:tc>
      </w:tr>
      <w:tr w:rsidR="05F3F407" w14:paraId="41AAA349" w14:textId="77777777" w:rsidTr="05F3F407">
        <w:trPr>
          <w:trHeight w:val="255"/>
        </w:trPr>
        <w:tc>
          <w:tcPr>
            <w:tcW w:w="2327" w:type="dxa"/>
            <w:tcMar>
              <w:left w:w="108" w:type="dxa"/>
              <w:right w:w="108" w:type="dxa"/>
            </w:tcMar>
            <w:vAlign w:val="bottom"/>
          </w:tcPr>
          <w:p w14:paraId="39132235" w14:textId="3AA836D3" w:rsidR="05F3F407" w:rsidRDefault="05F3F407"/>
        </w:tc>
        <w:tc>
          <w:tcPr>
            <w:tcW w:w="1390" w:type="dxa"/>
            <w:tcBorders>
              <w:top w:val="nil"/>
              <w:left w:val="single" w:sz="8" w:space="0" w:color="auto"/>
              <w:bottom w:val="nil"/>
              <w:right w:val="single" w:sz="8" w:space="0" w:color="auto"/>
            </w:tcBorders>
            <w:tcMar>
              <w:left w:w="108" w:type="dxa"/>
              <w:right w:w="108" w:type="dxa"/>
            </w:tcMar>
            <w:vAlign w:val="bottom"/>
          </w:tcPr>
          <w:p w14:paraId="4E0A5572" w14:textId="3D8673C5" w:rsidR="05F3F407" w:rsidRDefault="05F3F407" w:rsidP="05F3F407">
            <w:pPr>
              <w:jc w:val="center"/>
            </w:pPr>
            <w:r w:rsidRPr="05F3F407">
              <w:rPr>
                <w:rFonts w:ascii="Arial" w:eastAsia="Arial" w:hAnsi="Arial" w:cs="Arial"/>
              </w:rPr>
              <w:t>12 Months</w:t>
            </w:r>
          </w:p>
        </w:tc>
        <w:tc>
          <w:tcPr>
            <w:tcW w:w="1501" w:type="dxa"/>
            <w:tcBorders>
              <w:top w:val="nil"/>
              <w:left w:val="single" w:sz="8" w:space="0" w:color="auto"/>
              <w:bottom w:val="nil"/>
              <w:right w:val="single" w:sz="8" w:space="0" w:color="auto"/>
            </w:tcBorders>
            <w:tcMar>
              <w:left w:w="108" w:type="dxa"/>
              <w:right w:w="108" w:type="dxa"/>
            </w:tcMar>
            <w:vAlign w:val="bottom"/>
          </w:tcPr>
          <w:p w14:paraId="77EEB3DB" w14:textId="56140E2E" w:rsidR="05F3F407" w:rsidRDefault="05F3F407" w:rsidP="05F3F407">
            <w:pPr>
              <w:jc w:val="center"/>
            </w:pPr>
            <w:r w:rsidRPr="05F3F407">
              <w:rPr>
                <w:rFonts w:ascii="Arial" w:eastAsia="Arial" w:hAnsi="Arial" w:cs="Arial"/>
              </w:rPr>
              <w:t>12 Months</w:t>
            </w:r>
          </w:p>
        </w:tc>
        <w:tc>
          <w:tcPr>
            <w:tcW w:w="1390" w:type="dxa"/>
            <w:tcBorders>
              <w:top w:val="nil"/>
              <w:left w:val="single" w:sz="8" w:space="0" w:color="auto"/>
              <w:bottom w:val="nil"/>
              <w:right w:val="single" w:sz="8" w:space="0" w:color="auto"/>
            </w:tcBorders>
            <w:tcMar>
              <w:left w:w="108" w:type="dxa"/>
              <w:right w:w="108" w:type="dxa"/>
            </w:tcMar>
            <w:vAlign w:val="bottom"/>
          </w:tcPr>
          <w:p w14:paraId="2BF90BEF" w14:textId="2E0D523F" w:rsidR="05F3F407" w:rsidRDefault="05F3F407" w:rsidP="05F3F407">
            <w:pPr>
              <w:jc w:val="center"/>
            </w:pPr>
            <w:r w:rsidRPr="05F3F407">
              <w:rPr>
                <w:rFonts w:ascii="Arial" w:eastAsia="Arial" w:hAnsi="Arial" w:cs="Arial"/>
              </w:rPr>
              <w:t>12 Months</w:t>
            </w:r>
          </w:p>
        </w:tc>
        <w:tc>
          <w:tcPr>
            <w:tcW w:w="1390" w:type="dxa"/>
            <w:tcBorders>
              <w:top w:val="nil"/>
              <w:left w:val="single" w:sz="8" w:space="0" w:color="auto"/>
              <w:bottom w:val="nil"/>
              <w:right w:val="single" w:sz="8" w:space="0" w:color="auto"/>
            </w:tcBorders>
            <w:tcMar>
              <w:left w:w="108" w:type="dxa"/>
              <w:right w:w="108" w:type="dxa"/>
            </w:tcMar>
            <w:vAlign w:val="bottom"/>
          </w:tcPr>
          <w:p w14:paraId="1A02AF88" w14:textId="43A41FDC" w:rsidR="05F3F407" w:rsidRDefault="05F3F407" w:rsidP="05F3F407">
            <w:pPr>
              <w:jc w:val="center"/>
            </w:pPr>
            <w:r w:rsidRPr="05F3F407">
              <w:rPr>
                <w:rFonts w:ascii="Arial" w:eastAsia="Arial" w:hAnsi="Arial" w:cs="Arial"/>
              </w:rPr>
              <w:t>12 Months</w:t>
            </w:r>
          </w:p>
        </w:tc>
      </w:tr>
      <w:tr w:rsidR="05F3F407" w14:paraId="6B3A51DD" w14:textId="77777777" w:rsidTr="05F3F407">
        <w:trPr>
          <w:trHeight w:val="255"/>
        </w:trPr>
        <w:tc>
          <w:tcPr>
            <w:tcW w:w="2327" w:type="dxa"/>
            <w:tcMar>
              <w:left w:w="108" w:type="dxa"/>
              <w:right w:w="108" w:type="dxa"/>
            </w:tcMar>
            <w:vAlign w:val="bottom"/>
          </w:tcPr>
          <w:p w14:paraId="191E5333" w14:textId="5DEB8ED9" w:rsidR="05F3F407" w:rsidRDefault="05F3F407"/>
        </w:tc>
        <w:tc>
          <w:tcPr>
            <w:tcW w:w="1390" w:type="dxa"/>
            <w:tcBorders>
              <w:top w:val="nil"/>
              <w:left w:val="single" w:sz="8" w:space="0" w:color="auto"/>
              <w:bottom w:val="single" w:sz="8" w:space="0" w:color="auto"/>
              <w:right w:val="single" w:sz="8" w:space="0" w:color="auto"/>
            </w:tcBorders>
            <w:tcMar>
              <w:left w:w="108" w:type="dxa"/>
              <w:right w:w="108" w:type="dxa"/>
            </w:tcMar>
            <w:vAlign w:val="bottom"/>
          </w:tcPr>
          <w:p w14:paraId="335F3B47" w14:textId="76C479B2" w:rsidR="05F3F407" w:rsidRDefault="05F3F407" w:rsidP="05F3F407">
            <w:pPr>
              <w:jc w:val="center"/>
            </w:pPr>
            <w:r w:rsidRPr="05F3F407">
              <w:rPr>
                <w:rFonts w:ascii="Arial" w:eastAsia="Arial" w:hAnsi="Arial" w:cs="Arial"/>
              </w:rPr>
              <w:t>31-Dec-2023</w:t>
            </w:r>
          </w:p>
        </w:tc>
        <w:tc>
          <w:tcPr>
            <w:tcW w:w="1501" w:type="dxa"/>
            <w:tcBorders>
              <w:top w:val="nil"/>
              <w:left w:val="single" w:sz="8" w:space="0" w:color="auto"/>
              <w:bottom w:val="single" w:sz="8" w:space="0" w:color="auto"/>
              <w:right w:val="single" w:sz="8" w:space="0" w:color="auto"/>
            </w:tcBorders>
            <w:tcMar>
              <w:left w:w="108" w:type="dxa"/>
              <w:right w:w="108" w:type="dxa"/>
            </w:tcMar>
            <w:vAlign w:val="bottom"/>
          </w:tcPr>
          <w:p w14:paraId="4478E673" w14:textId="7F533B67" w:rsidR="05F3F407" w:rsidRDefault="05F3F407" w:rsidP="05F3F407">
            <w:pPr>
              <w:jc w:val="center"/>
            </w:pPr>
            <w:r w:rsidRPr="05F3F407">
              <w:rPr>
                <w:rFonts w:ascii="Arial" w:eastAsia="Arial" w:hAnsi="Arial" w:cs="Arial"/>
              </w:rPr>
              <w:t>31-Dec-2024</w:t>
            </w:r>
          </w:p>
        </w:tc>
        <w:tc>
          <w:tcPr>
            <w:tcW w:w="1390" w:type="dxa"/>
            <w:tcBorders>
              <w:top w:val="nil"/>
              <w:left w:val="single" w:sz="8" w:space="0" w:color="auto"/>
              <w:bottom w:val="single" w:sz="8" w:space="0" w:color="auto"/>
              <w:right w:val="single" w:sz="8" w:space="0" w:color="auto"/>
            </w:tcBorders>
            <w:tcMar>
              <w:left w:w="108" w:type="dxa"/>
              <w:right w:w="108" w:type="dxa"/>
            </w:tcMar>
            <w:vAlign w:val="bottom"/>
          </w:tcPr>
          <w:p w14:paraId="57DCD8A0" w14:textId="74ABE0C5" w:rsidR="05F3F407" w:rsidRDefault="05F3F407" w:rsidP="05F3F407">
            <w:pPr>
              <w:jc w:val="center"/>
            </w:pPr>
            <w:r w:rsidRPr="05F3F407">
              <w:rPr>
                <w:rFonts w:ascii="Arial" w:eastAsia="Arial" w:hAnsi="Arial" w:cs="Arial"/>
              </w:rPr>
              <w:t>31-Dec-2025</w:t>
            </w:r>
          </w:p>
        </w:tc>
        <w:tc>
          <w:tcPr>
            <w:tcW w:w="1390" w:type="dxa"/>
            <w:tcBorders>
              <w:top w:val="nil"/>
              <w:left w:val="single" w:sz="8" w:space="0" w:color="auto"/>
              <w:bottom w:val="single" w:sz="8" w:space="0" w:color="auto"/>
              <w:right w:val="single" w:sz="8" w:space="0" w:color="auto"/>
            </w:tcBorders>
            <w:tcMar>
              <w:left w:w="108" w:type="dxa"/>
              <w:right w:w="108" w:type="dxa"/>
            </w:tcMar>
            <w:vAlign w:val="bottom"/>
          </w:tcPr>
          <w:p w14:paraId="5588FFD7" w14:textId="043CB9E4" w:rsidR="05F3F407" w:rsidRDefault="05F3F407" w:rsidP="05F3F407">
            <w:pPr>
              <w:jc w:val="center"/>
            </w:pPr>
            <w:r w:rsidRPr="05F3F407">
              <w:rPr>
                <w:rFonts w:ascii="Arial" w:eastAsia="Arial" w:hAnsi="Arial" w:cs="Arial"/>
              </w:rPr>
              <w:t>31-Dec-2026</w:t>
            </w:r>
          </w:p>
        </w:tc>
      </w:tr>
      <w:tr w:rsidR="05F3F407" w14:paraId="318E0F36" w14:textId="77777777" w:rsidTr="05F3F407">
        <w:trPr>
          <w:trHeight w:val="255"/>
        </w:trPr>
        <w:tc>
          <w:tcPr>
            <w:tcW w:w="2327" w:type="dxa"/>
            <w:tcMar>
              <w:left w:w="108" w:type="dxa"/>
              <w:right w:w="108" w:type="dxa"/>
            </w:tcMar>
            <w:vAlign w:val="bottom"/>
          </w:tcPr>
          <w:p w14:paraId="480FF39E" w14:textId="78BB32F3" w:rsidR="05F3F407" w:rsidRDefault="05F3F407"/>
        </w:tc>
        <w:tc>
          <w:tcPr>
            <w:tcW w:w="1390" w:type="dxa"/>
            <w:tcMar>
              <w:left w:w="108" w:type="dxa"/>
              <w:right w:w="108" w:type="dxa"/>
            </w:tcMar>
            <w:vAlign w:val="bottom"/>
          </w:tcPr>
          <w:p w14:paraId="2A7258E7" w14:textId="28F1EB47" w:rsidR="05F3F407" w:rsidRDefault="05F3F407"/>
        </w:tc>
        <w:tc>
          <w:tcPr>
            <w:tcW w:w="1501" w:type="dxa"/>
            <w:tcMar>
              <w:left w:w="108" w:type="dxa"/>
              <w:right w:w="108" w:type="dxa"/>
            </w:tcMar>
            <w:vAlign w:val="bottom"/>
          </w:tcPr>
          <w:p w14:paraId="6BADFC0F" w14:textId="07DF6952" w:rsidR="05F3F407" w:rsidRDefault="05F3F407"/>
        </w:tc>
        <w:tc>
          <w:tcPr>
            <w:tcW w:w="1390" w:type="dxa"/>
            <w:tcMar>
              <w:left w:w="108" w:type="dxa"/>
              <w:right w:w="108" w:type="dxa"/>
            </w:tcMar>
            <w:vAlign w:val="bottom"/>
          </w:tcPr>
          <w:p w14:paraId="1999A81D" w14:textId="12B02C5B" w:rsidR="05F3F407" w:rsidRDefault="05F3F407"/>
        </w:tc>
        <w:tc>
          <w:tcPr>
            <w:tcW w:w="1390" w:type="dxa"/>
            <w:tcMar>
              <w:left w:w="108" w:type="dxa"/>
              <w:right w:w="108" w:type="dxa"/>
            </w:tcMar>
            <w:vAlign w:val="bottom"/>
          </w:tcPr>
          <w:p w14:paraId="46ACA721" w14:textId="6D85F5DE" w:rsidR="05F3F407" w:rsidRDefault="05F3F407"/>
        </w:tc>
      </w:tr>
      <w:tr w:rsidR="05F3F407" w14:paraId="37E43EDB" w14:textId="77777777" w:rsidTr="05F3F407">
        <w:trPr>
          <w:trHeight w:val="255"/>
        </w:trPr>
        <w:tc>
          <w:tcPr>
            <w:tcW w:w="2327" w:type="dxa"/>
            <w:tcMar>
              <w:left w:w="108" w:type="dxa"/>
              <w:right w:w="108" w:type="dxa"/>
            </w:tcMar>
            <w:vAlign w:val="bottom"/>
          </w:tcPr>
          <w:p w14:paraId="2A11EF00" w14:textId="59909EFB" w:rsidR="05F3F407" w:rsidRPr="00D5050D" w:rsidRDefault="05F3F407" w:rsidP="00D5050D">
            <w:pPr>
              <w:ind w:left="-108"/>
            </w:pPr>
            <w:r w:rsidRPr="00D5050D">
              <w:rPr>
                <w:rFonts w:ascii="Arial" w:eastAsia="Arial" w:hAnsi="Arial" w:cs="Arial"/>
              </w:rPr>
              <w:t xml:space="preserve">Incentive Accrual Expense </w:t>
            </w:r>
          </w:p>
        </w:tc>
        <w:tc>
          <w:tcPr>
            <w:tcW w:w="1390" w:type="dxa"/>
            <w:tcMar>
              <w:left w:w="108" w:type="dxa"/>
              <w:right w:w="108" w:type="dxa"/>
            </w:tcMar>
            <w:vAlign w:val="bottom"/>
          </w:tcPr>
          <w:p w14:paraId="1B2D8E4D" w14:textId="4A756334" w:rsidR="05F3F407" w:rsidRDefault="05F3F407" w:rsidP="05F3F407">
            <w:r w:rsidRPr="05F3F407">
              <w:rPr>
                <w:rFonts w:ascii="Arial" w:eastAsia="Arial" w:hAnsi="Arial" w:cs="Arial"/>
              </w:rPr>
              <w:t xml:space="preserve">4,754,467 </w:t>
            </w:r>
          </w:p>
        </w:tc>
        <w:tc>
          <w:tcPr>
            <w:tcW w:w="1501" w:type="dxa"/>
            <w:tcMar>
              <w:left w:w="108" w:type="dxa"/>
              <w:right w:w="108" w:type="dxa"/>
            </w:tcMar>
            <w:vAlign w:val="bottom"/>
          </w:tcPr>
          <w:p w14:paraId="384BA201" w14:textId="2764C144" w:rsidR="05F3F407" w:rsidRDefault="05F3F407" w:rsidP="05F3F407">
            <w:r w:rsidRPr="05F3F407">
              <w:rPr>
                <w:rFonts w:ascii="Arial" w:eastAsia="Arial" w:hAnsi="Arial" w:cs="Arial"/>
              </w:rPr>
              <w:t xml:space="preserve">           5,772,590 </w:t>
            </w:r>
          </w:p>
        </w:tc>
        <w:tc>
          <w:tcPr>
            <w:tcW w:w="1390" w:type="dxa"/>
            <w:tcMar>
              <w:left w:w="108" w:type="dxa"/>
              <w:right w:w="108" w:type="dxa"/>
            </w:tcMar>
            <w:vAlign w:val="bottom"/>
          </w:tcPr>
          <w:p w14:paraId="5D4C4172" w14:textId="4AAA69D6" w:rsidR="05F3F407" w:rsidRDefault="05F3F407" w:rsidP="05F3F407">
            <w:r w:rsidRPr="05F3F407">
              <w:rPr>
                <w:rFonts w:ascii="Arial" w:eastAsia="Arial" w:hAnsi="Arial" w:cs="Arial"/>
              </w:rPr>
              <w:t xml:space="preserve">         6,213,621 </w:t>
            </w:r>
          </w:p>
        </w:tc>
        <w:tc>
          <w:tcPr>
            <w:tcW w:w="1390" w:type="dxa"/>
            <w:tcMar>
              <w:left w:w="108" w:type="dxa"/>
              <w:right w:w="108" w:type="dxa"/>
            </w:tcMar>
            <w:vAlign w:val="bottom"/>
          </w:tcPr>
          <w:p w14:paraId="40F73AC9" w14:textId="5E213F45" w:rsidR="05F3F407" w:rsidRDefault="05F3F407" w:rsidP="05F3F407">
            <w:r w:rsidRPr="05F3F407">
              <w:rPr>
                <w:rFonts w:ascii="Arial" w:eastAsia="Arial" w:hAnsi="Arial" w:cs="Arial"/>
              </w:rPr>
              <w:t xml:space="preserve">         6,400,030 </w:t>
            </w:r>
          </w:p>
        </w:tc>
      </w:tr>
      <w:tr w:rsidR="05F3F407" w14:paraId="452C6587" w14:textId="77777777" w:rsidTr="05F3F407">
        <w:trPr>
          <w:trHeight w:val="255"/>
        </w:trPr>
        <w:tc>
          <w:tcPr>
            <w:tcW w:w="2327" w:type="dxa"/>
            <w:tcMar>
              <w:left w:w="108" w:type="dxa"/>
              <w:right w:w="108" w:type="dxa"/>
            </w:tcMar>
            <w:vAlign w:val="bottom"/>
          </w:tcPr>
          <w:p w14:paraId="5E5314EC" w14:textId="75563371" w:rsidR="05F3F407" w:rsidRDefault="05F3F407" w:rsidP="05F3F407">
            <w:r w:rsidRPr="05F3F407">
              <w:rPr>
                <w:rFonts w:ascii="Arial" w:eastAsia="Arial" w:hAnsi="Arial" w:cs="Arial"/>
                <w:sz w:val="18"/>
                <w:szCs w:val="18"/>
              </w:rPr>
              <w:t xml:space="preserve"> </w:t>
            </w:r>
          </w:p>
          <w:p w14:paraId="70235B10" w14:textId="13EBD8C1" w:rsidR="05F3F407" w:rsidRPr="00D5050D" w:rsidRDefault="05F3F407" w:rsidP="00D5050D">
            <w:pPr>
              <w:ind w:left="-108"/>
            </w:pPr>
            <w:r w:rsidRPr="00D5050D">
              <w:rPr>
                <w:rFonts w:ascii="Arial" w:eastAsia="Arial" w:hAnsi="Arial" w:cs="Arial"/>
              </w:rPr>
              <w:t xml:space="preserve">Incentive Accrual Capital </w:t>
            </w:r>
          </w:p>
        </w:tc>
        <w:tc>
          <w:tcPr>
            <w:tcW w:w="1390" w:type="dxa"/>
            <w:tcMar>
              <w:left w:w="108" w:type="dxa"/>
              <w:right w:w="108" w:type="dxa"/>
            </w:tcMar>
            <w:vAlign w:val="bottom"/>
          </w:tcPr>
          <w:p w14:paraId="21B7FAA0" w14:textId="6F7F3F52" w:rsidR="05F3F407" w:rsidRDefault="05F3F407" w:rsidP="05F3F407">
            <w:r w:rsidRPr="05F3F407">
              <w:rPr>
                <w:rFonts w:ascii="Arial" w:eastAsia="Arial" w:hAnsi="Arial" w:cs="Arial"/>
              </w:rPr>
              <w:t xml:space="preserve">         4,429,758 </w:t>
            </w:r>
          </w:p>
        </w:tc>
        <w:tc>
          <w:tcPr>
            <w:tcW w:w="1501" w:type="dxa"/>
            <w:tcMar>
              <w:left w:w="108" w:type="dxa"/>
              <w:right w:w="108" w:type="dxa"/>
            </w:tcMar>
            <w:vAlign w:val="bottom"/>
          </w:tcPr>
          <w:p w14:paraId="13EDB722" w14:textId="09474CBC" w:rsidR="05F3F407" w:rsidRDefault="05F3F407" w:rsidP="05F3F407">
            <w:r w:rsidRPr="05F3F407">
              <w:rPr>
                <w:rFonts w:ascii="Arial" w:eastAsia="Arial" w:hAnsi="Arial" w:cs="Arial"/>
              </w:rPr>
              <w:t xml:space="preserve">           5,810,309 </w:t>
            </w:r>
          </w:p>
        </w:tc>
        <w:tc>
          <w:tcPr>
            <w:tcW w:w="1390" w:type="dxa"/>
            <w:tcMar>
              <w:left w:w="108" w:type="dxa"/>
              <w:right w:w="108" w:type="dxa"/>
            </w:tcMar>
            <w:vAlign w:val="bottom"/>
          </w:tcPr>
          <w:p w14:paraId="137FF5C7" w14:textId="26A2B800" w:rsidR="05F3F407" w:rsidRDefault="05F3F407" w:rsidP="05F3F407">
            <w:r w:rsidRPr="05F3F407">
              <w:rPr>
                <w:rFonts w:ascii="Arial" w:eastAsia="Arial" w:hAnsi="Arial" w:cs="Arial"/>
              </w:rPr>
              <w:t xml:space="preserve">         4,415,675 </w:t>
            </w:r>
          </w:p>
        </w:tc>
        <w:tc>
          <w:tcPr>
            <w:tcW w:w="1390" w:type="dxa"/>
            <w:tcMar>
              <w:left w:w="108" w:type="dxa"/>
              <w:right w:w="108" w:type="dxa"/>
            </w:tcMar>
            <w:vAlign w:val="bottom"/>
          </w:tcPr>
          <w:p w14:paraId="7E21F1A4" w14:textId="56FA67B6" w:rsidR="05F3F407" w:rsidRDefault="05F3F407" w:rsidP="05F3F407">
            <w:r w:rsidRPr="05F3F407">
              <w:rPr>
                <w:rFonts w:ascii="Arial" w:eastAsia="Arial" w:hAnsi="Arial" w:cs="Arial"/>
              </w:rPr>
              <w:t xml:space="preserve">         4,548,145 </w:t>
            </w:r>
          </w:p>
        </w:tc>
      </w:tr>
    </w:tbl>
    <w:p w14:paraId="13830273" w14:textId="2745D4AE" w:rsidR="006C0AC2" w:rsidRDefault="41A99FAD" w:rsidP="05F3F4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pPr>
      <w:r w:rsidRPr="05F3F407">
        <w:rPr>
          <w:sz w:val="24"/>
          <w:szCs w:val="24"/>
        </w:rPr>
        <w:t xml:space="preserve"> </w:t>
      </w:r>
    </w:p>
    <w:p w14:paraId="6DFCB1EA" w14:textId="097BD699" w:rsidR="006C0AC2" w:rsidRDefault="41A99FAD" w:rsidP="05F3F4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pPr>
      <w:r w:rsidRPr="05F3F407">
        <w:rPr>
          <w:sz w:val="24"/>
          <w:szCs w:val="24"/>
        </w:rPr>
        <w:t xml:space="preserve">    </w:t>
      </w:r>
      <w:r w:rsidR="00BD2B85">
        <w:tab/>
      </w:r>
      <w:r w:rsidR="00BD2B85">
        <w:tab/>
      </w:r>
      <w:r w:rsidRPr="00D5050D">
        <w:rPr>
          <w:rFonts w:ascii="Arial" w:eastAsia="Arial" w:hAnsi="Arial" w:cs="Arial"/>
        </w:rPr>
        <w:t>Incentive from DES</w:t>
      </w:r>
      <w:r w:rsidRPr="05F3F407">
        <w:rPr>
          <w:rFonts w:ascii="Arial" w:eastAsia="Arial" w:hAnsi="Arial" w:cs="Arial"/>
          <w:sz w:val="18"/>
          <w:szCs w:val="18"/>
        </w:rPr>
        <w:t xml:space="preserve">               </w:t>
      </w:r>
      <w:r w:rsidRPr="00D5050D">
        <w:rPr>
          <w:rFonts w:ascii="Arial" w:eastAsia="Arial" w:hAnsi="Arial" w:cs="Arial"/>
        </w:rPr>
        <w:t>1,723,111</w:t>
      </w:r>
      <w:r w:rsidRPr="05F3F407">
        <w:rPr>
          <w:rFonts w:ascii="Arial" w:eastAsia="Arial" w:hAnsi="Arial" w:cs="Arial"/>
          <w:sz w:val="18"/>
          <w:szCs w:val="18"/>
        </w:rPr>
        <w:t xml:space="preserve"> </w:t>
      </w:r>
      <w:r w:rsidR="00BD2B85">
        <w:tab/>
      </w:r>
      <w:r w:rsidRPr="05F3F407">
        <w:rPr>
          <w:rFonts w:ascii="Arial" w:eastAsia="Arial" w:hAnsi="Arial" w:cs="Arial"/>
          <w:sz w:val="18"/>
          <w:szCs w:val="18"/>
        </w:rPr>
        <w:t xml:space="preserve">    </w:t>
      </w:r>
      <w:r w:rsidRPr="00D5050D">
        <w:rPr>
          <w:rFonts w:ascii="Arial" w:eastAsia="Arial" w:hAnsi="Arial" w:cs="Arial"/>
        </w:rPr>
        <w:t>1,068,262</w:t>
      </w:r>
      <w:r w:rsidR="00BD2B85">
        <w:tab/>
      </w:r>
      <w:r w:rsidRPr="05F3F407">
        <w:rPr>
          <w:rFonts w:ascii="Arial" w:eastAsia="Arial" w:hAnsi="Arial" w:cs="Arial"/>
          <w:sz w:val="18"/>
          <w:szCs w:val="18"/>
        </w:rPr>
        <w:t xml:space="preserve">   </w:t>
      </w:r>
      <w:r w:rsidR="00D5050D">
        <w:rPr>
          <w:rFonts w:ascii="Arial" w:eastAsia="Arial" w:hAnsi="Arial" w:cs="Arial"/>
          <w:sz w:val="18"/>
          <w:szCs w:val="18"/>
        </w:rPr>
        <w:t xml:space="preserve">      </w:t>
      </w:r>
      <w:r w:rsidRPr="00D5050D">
        <w:rPr>
          <w:rFonts w:ascii="Arial" w:eastAsia="Arial" w:hAnsi="Arial" w:cs="Arial"/>
        </w:rPr>
        <w:t>897,340</w:t>
      </w:r>
    </w:p>
    <w:p w14:paraId="541071D0" w14:textId="55F117A3" w:rsidR="006C0AC2" w:rsidRDefault="006C0AC2" w:rsidP="05F3F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4BEAE2D0" w14:textId="532A02FE" w:rsidR="006C0AC2" w:rsidRDefault="3A21E2A1" w:rsidP="6E80DC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30" w:hanging="1530"/>
        <w:jc w:val="both"/>
      </w:pPr>
      <w:r w:rsidRPr="6E80DC00">
        <w:rPr>
          <w:sz w:val="24"/>
          <w:szCs w:val="24"/>
        </w:rPr>
        <w:t xml:space="preserve"> </w:t>
      </w:r>
    </w:p>
    <w:p w14:paraId="317ADCCA" w14:textId="670BA0A0" w:rsidR="006C0AC2" w:rsidRDefault="3A21E2A1" w:rsidP="009702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30" w:hanging="1530"/>
        <w:jc w:val="both"/>
      </w:pPr>
      <w:r w:rsidRPr="6E80DC00">
        <w:rPr>
          <w:sz w:val="24"/>
          <w:szCs w:val="24"/>
        </w:rPr>
        <w:t xml:space="preserve"> </w:t>
      </w:r>
    </w:p>
    <w:p w14:paraId="6E592ED4" w14:textId="4B95F6E3" w:rsidR="006C0AC2" w:rsidRDefault="3A21E2A1" w:rsidP="00D505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530" w:hanging="1620"/>
        <w:jc w:val="both"/>
        <w:rPr>
          <w:sz w:val="24"/>
          <w:szCs w:val="24"/>
        </w:rPr>
      </w:pPr>
      <w:r w:rsidRPr="6E80DC00">
        <w:rPr>
          <w:sz w:val="24"/>
          <w:szCs w:val="24"/>
        </w:rPr>
        <w:t xml:space="preserve">Prepared by: </w:t>
      </w:r>
      <w:r w:rsidR="007269F6">
        <w:tab/>
      </w:r>
      <w:r w:rsidRPr="6E80DC00">
        <w:rPr>
          <w:sz w:val="24"/>
          <w:szCs w:val="24"/>
        </w:rPr>
        <w:t xml:space="preserve">Mike Rawlins, Financial Consultant, </w:t>
      </w:r>
      <w:r w:rsidR="00412CD4">
        <w:rPr>
          <w:sz w:val="24"/>
          <w:szCs w:val="24"/>
        </w:rPr>
        <w:t xml:space="preserve">Enbridge Gas </w:t>
      </w:r>
      <w:r w:rsidRPr="6E80DC00">
        <w:rPr>
          <w:sz w:val="24"/>
          <w:szCs w:val="24"/>
        </w:rPr>
        <w:t>Utah</w:t>
      </w:r>
    </w:p>
    <w:p w14:paraId="49907330" w14:textId="459FD8CC" w:rsidR="00114031" w:rsidRDefault="00114031" w:rsidP="00C61B4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sectPr w:rsidR="0011403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E977C" w14:textId="77777777" w:rsidR="00AE2CC1" w:rsidRDefault="00AE2CC1" w:rsidP="008A13C8">
      <w:r>
        <w:separator/>
      </w:r>
    </w:p>
  </w:endnote>
  <w:endnote w:type="continuationSeparator" w:id="0">
    <w:p w14:paraId="4055CAFD" w14:textId="77777777" w:rsidR="00AE2CC1" w:rsidRDefault="00AE2CC1" w:rsidP="008A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19B5" w14:textId="77777777" w:rsidR="00AE2CC1" w:rsidRDefault="00AE2CC1" w:rsidP="008A13C8">
      <w:r>
        <w:separator/>
      </w:r>
    </w:p>
  </w:footnote>
  <w:footnote w:type="continuationSeparator" w:id="0">
    <w:p w14:paraId="03AF77FA" w14:textId="77777777" w:rsidR="00AE2CC1" w:rsidRDefault="00AE2CC1" w:rsidP="008A13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89825436">
    <w:abstractNumId w:val="0"/>
  </w:num>
  <w:num w:numId="2" w16cid:durableId="1728411369">
    <w:abstractNumId w:val="2"/>
  </w:num>
  <w:num w:numId="3" w16cid:durableId="1922446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57DB"/>
    <w:rsid w:val="00017CE2"/>
    <w:rsid w:val="00067F24"/>
    <w:rsid w:val="00114031"/>
    <w:rsid w:val="0024042F"/>
    <w:rsid w:val="002755F4"/>
    <w:rsid w:val="002A0057"/>
    <w:rsid w:val="002E34F5"/>
    <w:rsid w:val="003511CB"/>
    <w:rsid w:val="00380ED5"/>
    <w:rsid w:val="00412CD4"/>
    <w:rsid w:val="004507DD"/>
    <w:rsid w:val="00457D9A"/>
    <w:rsid w:val="00481CB3"/>
    <w:rsid w:val="004B5402"/>
    <w:rsid w:val="004E5756"/>
    <w:rsid w:val="004F45F7"/>
    <w:rsid w:val="005210FA"/>
    <w:rsid w:val="005543E8"/>
    <w:rsid w:val="005C57DB"/>
    <w:rsid w:val="00613D98"/>
    <w:rsid w:val="006319A8"/>
    <w:rsid w:val="00663360"/>
    <w:rsid w:val="00686ABC"/>
    <w:rsid w:val="006C0AC2"/>
    <w:rsid w:val="007269F6"/>
    <w:rsid w:val="007E2047"/>
    <w:rsid w:val="00884C6F"/>
    <w:rsid w:val="008850B1"/>
    <w:rsid w:val="008A13C8"/>
    <w:rsid w:val="008A2EFB"/>
    <w:rsid w:val="008B23C7"/>
    <w:rsid w:val="008C0BEF"/>
    <w:rsid w:val="009216B4"/>
    <w:rsid w:val="0097028F"/>
    <w:rsid w:val="009E4AFE"/>
    <w:rsid w:val="009E6861"/>
    <w:rsid w:val="00A96ABB"/>
    <w:rsid w:val="00AE2CC1"/>
    <w:rsid w:val="00BD2B85"/>
    <w:rsid w:val="00C61B45"/>
    <w:rsid w:val="00CB1C51"/>
    <w:rsid w:val="00CE5384"/>
    <w:rsid w:val="00D016EA"/>
    <w:rsid w:val="00D5050D"/>
    <w:rsid w:val="00D900F3"/>
    <w:rsid w:val="00E22693"/>
    <w:rsid w:val="00FD6F8C"/>
    <w:rsid w:val="05F3F407"/>
    <w:rsid w:val="21E37D0C"/>
    <w:rsid w:val="22DF2493"/>
    <w:rsid w:val="3236B3CD"/>
    <w:rsid w:val="3A21E2A1"/>
    <w:rsid w:val="41A99FAD"/>
    <w:rsid w:val="5668678C"/>
    <w:rsid w:val="68125EB0"/>
    <w:rsid w:val="6E80D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D6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8A13C8"/>
    <w:pPr>
      <w:tabs>
        <w:tab w:val="center" w:pos="4680"/>
        <w:tab w:val="right" w:pos="9360"/>
      </w:tabs>
    </w:pPr>
  </w:style>
  <w:style w:type="character" w:customStyle="1" w:styleId="HeaderChar">
    <w:name w:val="Header Char"/>
    <w:basedOn w:val="DefaultParagraphFont"/>
    <w:link w:val="Header"/>
    <w:uiPriority w:val="99"/>
    <w:rsid w:val="008A13C8"/>
  </w:style>
  <w:style w:type="paragraph" w:styleId="Footer">
    <w:name w:val="footer"/>
    <w:basedOn w:val="Normal"/>
    <w:link w:val="FooterChar"/>
    <w:uiPriority w:val="99"/>
    <w:unhideWhenUsed/>
    <w:rsid w:val="008A13C8"/>
    <w:pPr>
      <w:tabs>
        <w:tab w:val="center" w:pos="4680"/>
        <w:tab w:val="right" w:pos="9360"/>
      </w:tabs>
    </w:pPr>
  </w:style>
  <w:style w:type="character" w:customStyle="1" w:styleId="FooterChar">
    <w:name w:val="Footer Char"/>
    <w:basedOn w:val="DefaultParagraphFont"/>
    <w:link w:val="Footer"/>
    <w:uiPriority w:val="99"/>
    <w:rsid w:val="008A13C8"/>
  </w:style>
  <w:style w:type="paragraph" w:styleId="BalloonText">
    <w:name w:val="Balloon Text"/>
    <w:basedOn w:val="Normal"/>
    <w:link w:val="BalloonTextChar"/>
    <w:uiPriority w:val="99"/>
    <w:semiHidden/>
    <w:unhideWhenUsed/>
    <w:rsid w:val="00017CE2"/>
    <w:rPr>
      <w:rFonts w:ascii="Tahoma" w:hAnsi="Tahoma" w:cs="Tahoma"/>
      <w:sz w:val="16"/>
      <w:szCs w:val="16"/>
    </w:rPr>
  </w:style>
  <w:style w:type="character" w:customStyle="1" w:styleId="BalloonTextChar">
    <w:name w:val="Balloon Text Char"/>
    <w:basedOn w:val="DefaultParagraphFont"/>
    <w:link w:val="BalloonText"/>
    <w:uiPriority w:val="99"/>
    <w:semiHidden/>
    <w:rsid w:val="00017CE2"/>
    <w:rPr>
      <w:rFonts w:ascii="Tahoma" w:hAnsi="Tahoma" w:cs="Tahoma"/>
      <w:sz w:val="16"/>
      <w:szCs w:val="1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4382">
      <w:bodyDiv w:val="1"/>
      <w:marLeft w:val="0"/>
      <w:marRight w:val="0"/>
      <w:marTop w:val="0"/>
      <w:marBottom w:val="0"/>
      <w:divBdr>
        <w:top w:val="none" w:sz="0" w:space="0" w:color="auto"/>
        <w:left w:val="none" w:sz="0" w:space="0" w:color="auto"/>
        <w:bottom w:val="none" w:sz="0" w:space="0" w:color="auto"/>
        <w:right w:val="none" w:sz="0" w:space="0" w:color="auto"/>
      </w:divBdr>
    </w:div>
    <w:div w:id="1568030119">
      <w:bodyDiv w:val="1"/>
      <w:marLeft w:val="0"/>
      <w:marRight w:val="0"/>
      <w:marTop w:val="0"/>
      <w:marBottom w:val="0"/>
      <w:divBdr>
        <w:top w:val="none" w:sz="0" w:space="0" w:color="auto"/>
        <w:left w:val="none" w:sz="0" w:space="0" w:color="auto"/>
        <w:bottom w:val="none" w:sz="0" w:space="0" w:color="auto"/>
        <w:right w:val="none" w:sz="0" w:space="0" w:color="auto"/>
      </w:divBdr>
    </w:div>
    <w:div w:id="1884947575">
      <w:bodyDiv w:val="1"/>
      <w:marLeft w:val="0"/>
      <w:marRight w:val="0"/>
      <w:marTop w:val="0"/>
      <w:marBottom w:val="0"/>
      <w:divBdr>
        <w:top w:val="none" w:sz="0" w:space="0" w:color="auto"/>
        <w:left w:val="none" w:sz="0" w:space="0" w:color="auto"/>
        <w:bottom w:val="none" w:sz="0" w:space="0" w:color="auto"/>
        <w:right w:val="none" w:sz="0" w:space="0" w:color="auto"/>
      </w:divBdr>
    </w:div>
    <w:div w:id="201680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9606F0-1FA1-4A3C-9F32-98181FE44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A28CC3-EEFD-4747-9C58-F52CDE1F104F}">
  <ds:schemaRefs>
    <ds:schemaRef ds:uri="http://schemas.microsoft.com/sharepoint/v3/contenttype/forms"/>
  </ds:schemaRefs>
</ds:datastoreItem>
</file>

<file path=customXml/itemProps3.xml><?xml version="1.0" encoding="utf-8"?>
<ds:datastoreItem xmlns:ds="http://schemas.openxmlformats.org/officeDocument/2006/customXml" ds:itemID="{F8A96D48-7122-47C9-8602-205B5BC6B0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2022</Characters>
  <Application>Microsoft Office Word</Application>
  <DocSecurity>0</DocSecurity>
  <Lines>67</Lines>
  <Paragraphs>35</Paragraphs>
  <ScaleCrop>false</ScaleCrop>
  <LinksUpToDate>false</LinksUpToDate>
  <CharactersWithSpaces>2363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8</cp:revision>
  <cp:lastPrinted>2016-06-14T21:20:00Z</cp:lastPrinted>
  <dcterms:created xsi:type="dcterms:W3CDTF">2019-06-24T20:10:00Z</dcterms:created>
  <dcterms:modified xsi:type="dcterms:W3CDTF">2025-04-24T00:36:00Z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